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0" w:right="1938" w:firstLine="0"/>
        <w:jc w:val="right"/>
        <w:rPr>
          <w:b/>
          <w:sz w:val="18"/>
        </w:rPr>
      </w:pPr>
      <w:r>
        <w:rPr/>
        <w:pict>
          <v:group style="position:absolute;margin-left:445.559967pt;margin-top:14.362784pt;width:123.15pt;height:124.45pt;mso-position-horizontal-relative:page;mso-position-vertical-relative:paragraph;z-index:251661312" coordorigin="8911,287" coordsize="2463,2489">
            <v:shape style="position:absolute;left:8911;top:311;width:2463;height:2465" type="#_x0000_t75" stroked="false">
              <v:imagedata r:id="rId5" o:title=""/>
            </v:shape>
            <v:shapetype id="_x0000_t202" o:spt="202" coordsize="21600,21600" path="m,l,21600r21600,l21600,xe">
              <v:stroke joinstyle="miter"/>
              <v:path gradientshapeok="t" o:connecttype="rect"/>
            </v:shapetype>
            <v:shape style="position:absolute;left:9360;top:287;width:990;height:202" type="#_x0000_t202" filled="false" stroked="false">
              <v:textbox inset="0,0,0,0">
                <w:txbxContent>
                  <w:p>
                    <w:pPr>
                      <w:spacing w:line="201" w:lineRule="exact" w:before="0"/>
                      <w:ind w:left="0" w:right="0" w:firstLine="0"/>
                      <w:jc w:val="left"/>
                      <w:rPr>
                        <w:sz w:val="18"/>
                      </w:rPr>
                    </w:pPr>
                    <w:r>
                      <w:rPr>
                        <w:sz w:val="18"/>
                      </w:rPr>
                      <w:t>[Rule 13.19]</w:t>
                    </w:r>
                  </w:p>
                </w:txbxContent>
              </v:textbox>
              <w10:wrap type="none"/>
            </v:shape>
            <v:shape style="position:absolute;left:9181;top:494;width:1704;height:1421" type="#_x0000_t202" filled="false" stroked="true" strokeweight=".600007pt" strokecolor="#000000">
              <v:textbox inset="0,0,0,0">
                <w:txbxContent>
                  <w:p>
                    <w:pPr>
                      <w:spacing w:line="240" w:lineRule="auto" w:before="10"/>
                      <w:rPr>
                        <w:sz w:val="20"/>
                      </w:rPr>
                    </w:pPr>
                  </w:p>
                  <w:p>
                    <w:pPr>
                      <w:spacing w:line="151" w:lineRule="exact" w:before="0"/>
                      <w:ind w:left="285" w:right="0" w:firstLine="0"/>
                      <w:jc w:val="left"/>
                      <w:rPr>
                        <w:rFonts w:ascii="Times New Roman"/>
                        <w:sz w:val="20"/>
                      </w:rPr>
                    </w:pPr>
                    <w:r>
                      <w:rPr>
                        <w:rFonts w:ascii="Times New Roman"/>
                        <w:sz w:val="20"/>
                      </w:rPr>
                      <w:t>Clerk's Stamp</w:t>
                    </w:r>
                  </w:p>
                  <w:p>
                    <w:pPr>
                      <w:spacing w:line="500" w:lineRule="exact" w:before="0"/>
                      <w:ind w:left="422" w:right="0" w:firstLine="0"/>
                      <w:jc w:val="left"/>
                      <w:rPr>
                        <w:rFonts w:ascii="Calibri"/>
                        <w:sz w:val="48"/>
                      </w:rPr>
                    </w:pPr>
                    <w:r>
                      <w:rPr>
                        <w:rFonts w:ascii="Calibri"/>
                        <w:color w:val="001F60"/>
                        <w:sz w:val="48"/>
                      </w:rPr>
                      <w:t>FILED</w:t>
                    </w:r>
                  </w:p>
                  <w:p>
                    <w:pPr>
                      <w:spacing w:line="298" w:lineRule="exact" w:before="0"/>
                      <w:ind w:left="300" w:right="0" w:firstLine="0"/>
                      <w:jc w:val="left"/>
                      <w:rPr>
                        <w:rFonts w:ascii="Calibri"/>
                        <w:b/>
                        <w:sz w:val="25"/>
                      </w:rPr>
                    </w:pPr>
                    <w:r>
                      <w:rPr>
                        <w:rFonts w:ascii="Calibri"/>
                        <w:b/>
                        <w:color w:val="00003F"/>
                        <w:sz w:val="25"/>
                      </w:rPr>
                      <w:t>Jan 28, 2021</w:t>
                    </w:r>
                  </w:p>
                </w:txbxContent>
              </v:textbox>
              <v:stroke dashstyle="solid"/>
              <w10:wrap type="none"/>
            </v:shape>
            <w10:wrap type="none"/>
          </v:group>
        </w:pict>
      </w:r>
      <w:bookmarkStart w:name="7.Affidavit - Peter Matson.vFinal - Part" w:id="1"/>
      <w:bookmarkEnd w:id="1"/>
      <w:r>
        <w:rPr/>
      </w:r>
      <w:bookmarkStart w:name="Affidavit - Peter Matson.vFinal - Part 1" w:id="2"/>
      <w:bookmarkEnd w:id="2"/>
      <w:r>
        <w:rPr/>
      </w:r>
      <w:r>
        <w:rPr>
          <w:b/>
          <w:sz w:val="18"/>
        </w:rPr>
        <w:t>Form 49</w:t>
      </w:r>
    </w:p>
    <w:p>
      <w:pPr>
        <w:pStyle w:val="BodyText"/>
        <w:rPr>
          <w:b/>
        </w:rPr>
      </w:pPr>
    </w:p>
    <w:p>
      <w:pPr>
        <w:spacing w:after="0"/>
        <w:sectPr>
          <w:type w:val="continuous"/>
          <w:pgSz w:w="12240" w:h="15840"/>
          <w:pgMar w:top="1220" w:bottom="0" w:left="1320" w:right="240"/>
        </w:sectPr>
      </w:pPr>
    </w:p>
    <w:p>
      <w:pPr>
        <w:pStyle w:val="BodyText"/>
        <w:spacing w:before="9"/>
        <w:rPr>
          <w:b/>
          <w:sz w:val="19"/>
        </w:rPr>
      </w:pPr>
    </w:p>
    <w:p>
      <w:pPr>
        <w:pStyle w:val="BodyText"/>
        <w:spacing w:before="1"/>
        <w:ind w:left="228"/>
      </w:pPr>
      <w:r>
        <w:rPr/>
        <w:t>COURT FILE NUMBER</w:t>
      </w:r>
    </w:p>
    <w:p>
      <w:pPr>
        <w:spacing w:before="229"/>
        <w:ind w:left="228" w:right="0" w:firstLine="0"/>
        <w:jc w:val="left"/>
        <w:rPr>
          <w:sz w:val="24"/>
        </w:rPr>
      </w:pPr>
      <w:r>
        <w:rPr/>
        <w:br w:type="column"/>
      </w:r>
      <w:r>
        <w:rPr>
          <w:sz w:val="24"/>
        </w:rPr>
        <w:t>2101-00313</w:t>
      </w:r>
    </w:p>
    <w:p>
      <w:pPr>
        <w:spacing w:after="0"/>
        <w:jc w:val="left"/>
        <w:rPr>
          <w:sz w:val="24"/>
        </w:rPr>
        <w:sectPr>
          <w:type w:val="continuous"/>
          <w:pgSz w:w="12240" w:h="15840"/>
          <w:pgMar w:top="1220" w:bottom="0" w:left="1320" w:right="240"/>
          <w:cols w:num="2" w:equalWidth="0">
            <w:col w:w="2382" w:space="486"/>
            <w:col w:w="7812"/>
          </w:cols>
        </w:sectPr>
      </w:pPr>
    </w:p>
    <w:p>
      <w:pPr>
        <w:pStyle w:val="BodyText"/>
        <w:tabs>
          <w:tab w:pos="3108" w:val="left" w:leader="none"/>
        </w:tabs>
        <w:spacing w:before="194"/>
        <w:ind w:left="228"/>
      </w:pPr>
      <w:r>
        <w:rPr/>
        <w:t>COURT</w:t>
        <w:tab/>
        <w:t>COURT OF QUEEN’S BENCH FOR</w:t>
      </w:r>
      <w:r>
        <w:rPr>
          <w:spacing w:val="-10"/>
        </w:rPr>
        <w:t> </w:t>
      </w:r>
      <w:r>
        <w:rPr/>
        <w:t>ALBERTA</w:t>
      </w:r>
    </w:p>
    <w:p>
      <w:pPr>
        <w:pStyle w:val="BodyText"/>
        <w:spacing w:before="5"/>
        <w:rPr>
          <w:sz w:val="12"/>
        </w:rPr>
      </w:pPr>
    </w:p>
    <w:p>
      <w:pPr>
        <w:pStyle w:val="BodyText"/>
        <w:tabs>
          <w:tab w:pos="3108" w:val="left" w:leader="none"/>
        </w:tabs>
        <w:spacing w:before="95"/>
        <w:ind w:left="228"/>
      </w:pPr>
      <w:r>
        <w:rPr/>
        <w:t>JUDICIAL</w:t>
      </w:r>
      <w:r>
        <w:rPr>
          <w:spacing w:val="-3"/>
        </w:rPr>
        <w:t> </w:t>
      </w:r>
      <w:r>
        <w:rPr/>
        <w:t>CENTRE</w:t>
        <w:tab/>
        <w:t>CALGARY</w:t>
      </w:r>
    </w:p>
    <w:p>
      <w:pPr>
        <w:pStyle w:val="BodyText"/>
        <w:spacing w:before="5"/>
        <w:rPr>
          <w:sz w:val="13"/>
        </w:rPr>
      </w:pPr>
    </w:p>
    <w:p>
      <w:pPr>
        <w:pStyle w:val="BodyText"/>
        <w:tabs>
          <w:tab w:pos="3108" w:val="left" w:leader="none"/>
        </w:tabs>
        <w:spacing w:before="95"/>
        <w:ind w:left="228"/>
      </w:pPr>
      <w:r>
        <w:rPr/>
        <w:t>APPLICANT(S)</w:t>
        <w:tab/>
        <w:t>PETER</w:t>
      </w:r>
      <w:r>
        <w:rPr>
          <w:spacing w:val="-3"/>
        </w:rPr>
        <w:t> </w:t>
      </w:r>
      <w:r>
        <w:rPr/>
        <w:t>MATSON</w:t>
      </w:r>
    </w:p>
    <w:p>
      <w:pPr>
        <w:pStyle w:val="BodyText"/>
        <w:spacing w:before="10"/>
        <w:rPr>
          <w:sz w:val="12"/>
        </w:rPr>
      </w:pPr>
    </w:p>
    <w:p>
      <w:pPr>
        <w:spacing w:after="0"/>
        <w:rPr>
          <w:sz w:val="12"/>
        </w:rPr>
        <w:sectPr>
          <w:type w:val="continuous"/>
          <w:pgSz w:w="12240" w:h="15840"/>
          <w:pgMar w:top="1220" w:bottom="0" w:left="1320" w:right="240"/>
        </w:sectPr>
      </w:pPr>
    </w:p>
    <w:p>
      <w:pPr>
        <w:pStyle w:val="BodyText"/>
        <w:spacing w:before="95"/>
        <w:ind w:left="3108"/>
      </w:pPr>
      <w:r>
        <w:rPr/>
        <w:t>GREG SZABO</w:t>
      </w:r>
    </w:p>
    <w:p>
      <w:pPr>
        <w:pStyle w:val="BodyText"/>
        <w:spacing w:before="8"/>
      </w:pPr>
    </w:p>
    <w:p>
      <w:pPr>
        <w:pStyle w:val="BodyText"/>
        <w:tabs>
          <w:tab w:pos="3108" w:val="left" w:leader="none"/>
        </w:tabs>
        <w:spacing w:line="491" w:lineRule="auto"/>
        <w:ind w:left="3108" w:right="38" w:hanging="2881"/>
      </w:pPr>
      <w:r>
        <w:rPr/>
        <w:t>RESPONDENT(S)</w:t>
        <w:tab/>
        <w:t>KARNALYTE RESOURCES INC. SANJEEV</w:t>
      </w:r>
      <w:r>
        <w:rPr>
          <w:spacing w:val="-3"/>
        </w:rPr>
        <w:t> </w:t>
      </w:r>
      <w:r>
        <w:rPr/>
        <w:t>VARMA</w:t>
      </w:r>
    </w:p>
    <w:p>
      <w:pPr>
        <w:pStyle w:val="BodyText"/>
        <w:spacing w:line="487" w:lineRule="auto"/>
        <w:ind w:left="3108" w:right="843"/>
      </w:pPr>
      <w:r>
        <w:rPr/>
        <w:t>VISHVESH NANAVATY DC ANJARIA</w:t>
      </w:r>
    </w:p>
    <w:p>
      <w:pPr>
        <w:pStyle w:val="BodyText"/>
        <w:spacing w:line="491" w:lineRule="auto" w:before="3"/>
        <w:ind w:left="3108" w:right="966"/>
      </w:pPr>
      <w:r>
        <w:rPr/>
        <w:t>GERALD SCHERMAN DANIELLE FAVREAU</w:t>
      </w:r>
    </w:p>
    <w:p>
      <w:pPr>
        <w:tabs>
          <w:tab w:pos="3107" w:val="left" w:leader="none"/>
        </w:tabs>
        <w:spacing w:line="228" w:lineRule="exact" w:before="0"/>
        <w:ind w:left="228" w:right="0" w:firstLine="0"/>
        <w:jc w:val="left"/>
        <w:rPr>
          <w:b/>
          <w:sz w:val="20"/>
        </w:rPr>
      </w:pPr>
      <w:r>
        <w:rPr>
          <w:sz w:val="20"/>
        </w:rPr>
        <w:t>DOCUMENT</w:t>
        <w:tab/>
      </w:r>
      <w:r>
        <w:rPr>
          <w:b/>
          <w:sz w:val="20"/>
        </w:rPr>
        <w:t>ORIGINATING</w:t>
      </w:r>
      <w:r>
        <w:rPr>
          <w:b/>
          <w:spacing w:val="-3"/>
          <w:sz w:val="20"/>
        </w:rPr>
        <w:t> </w:t>
      </w:r>
      <w:r>
        <w:rPr>
          <w:b/>
          <w:sz w:val="20"/>
        </w:rPr>
        <w:t>APPLICATION</w:t>
      </w:r>
    </w:p>
    <w:p>
      <w:pPr>
        <w:pStyle w:val="BodyText"/>
        <w:rPr>
          <w:b/>
          <w:sz w:val="26"/>
        </w:rPr>
      </w:pPr>
      <w:r>
        <w:rPr/>
        <w:br w:type="column"/>
      </w:r>
      <w:r>
        <w:rPr>
          <w:b/>
          <w:sz w:val="26"/>
        </w:rPr>
      </w:r>
    </w:p>
    <w:p>
      <w:pPr>
        <w:pStyle w:val="BodyText"/>
        <w:spacing w:before="9"/>
        <w:rPr>
          <w:b/>
          <w:sz w:val="22"/>
        </w:rPr>
      </w:pPr>
    </w:p>
    <w:p>
      <w:pPr>
        <w:spacing w:before="1"/>
        <w:ind w:left="280" w:right="0" w:firstLine="0"/>
        <w:jc w:val="left"/>
        <w:rPr>
          <w:sz w:val="24"/>
        </w:rPr>
      </w:pPr>
      <w:r>
        <w:rPr>
          <w:sz w:val="24"/>
        </w:rPr>
        <w:t>PM</w:t>
      </w:r>
    </w:p>
    <w:p>
      <w:pPr>
        <w:spacing w:before="55"/>
        <w:ind w:left="228" w:right="0" w:firstLine="0"/>
        <w:jc w:val="left"/>
        <w:rPr>
          <w:sz w:val="24"/>
        </w:rPr>
      </w:pPr>
      <w:r>
        <w:rPr>
          <w:sz w:val="24"/>
        </w:rPr>
        <w:t>109305</w:t>
      </w:r>
    </w:p>
    <w:p>
      <w:pPr>
        <w:spacing w:after="0"/>
        <w:jc w:val="left"/>
        <w:rPr>
          <w:sz w:val="24"/>
        </w:rPr>
        <w:sectPr>
          <w:type w:val="continuous"/>
          <w:pgSz w:w="12240" w:h="15840"/>
          <w:pgMar w:top="1220" w:bottom="0" w:left="1320" w:right="240"/>
          <w:cols w:num="2" w:equalWidth="0">
            <w:col w:w="6117" w:space="2879"/>
            <w:col w:w="1684"/>
          </w:cols>
        </w:sectPr>
      </w:pPr>
    </w:p>
    <w:p>
      <w:pPr>
        <w:pStyle w:val="BodyText"/>
        <w:spacing w:before="7"/>
        <w:rPr>
          <w:sz w:val="12"/>
        </w:rPr>
      </w:pPr>
    </w:p>
    <w:p>
      <w:pPr>
        <w:spacing w:after="0"/>
        <w:rPr>
          <w:sz w:val="12"/>
        </w:rPr>
        <w:sectPr>
          <w:type w:val="continuous"/>
          <w:pgSz w:w="12240" w:h="15840"/>
          <w:pgMar w:top="1220" w:bottom="0" w:left="1320" w:right="240"/>
        </w:sectPr>
      </w:pPr>
    </w:p>
    <w:p>
      <w:pPr>
        <w:pStyle w:val="BodyText"/>
        <w:spacing w:before="95"/>
        <w:ind w:left="228" w:right="21"/>
      </w:pPr>
      <w:r>
        <w:rPr/>
        <w:t>ADDRESS FOR SERVICE AND CONTACT INFORMATION OF PARTY FILING THIS DOCUMENT</w:t>
      </w:r>
    </w:p>
    <w:p>
      <w:pPr>
        <w:pStyle w:val="BodyText"/>
        <w:spacing w:before="95"/>
        <w:ind w:left="228" w:right="4817"/>
      </w:pPr>
      <w:r>
        <w:rPr/>
        <w:br w:type="column"/>
      </w:r>
      <w:r>
        <w:rPr/>
        <w:t>Cindy L. Bratt Law Corporation 2642 Fulford-Ganges Road Salt Spring Island,</w:t>
      </w:r>
    </w:p>
    <w:p>
      <w:pPr>
        <w:pStyle w:val="BodyText"/>
        <w:tabs>
          <w:tab w:pos="1667" w:val="left" w:leader="none"/>
        </w:tabs>
        <w:spacing w:line="249" w:lineRule="auto" w:before="1"/>
        <w:ind w:left="228" w:right="4917"/>
      </w:pPr>
      <w:r>
        <w:rPr/>
        <w:t>British Columbia, V8K 1Z4 Attention:</w:t>
        <w:tab/>
        <w:t>Cindy L.</w:t>
      </w:r>
      <w:r>
        <w:rPr>
          <w:spacing w:val="4"/>
        </w:rPr>
        <w:t> </w:t>
      </w:r>
      <w:r>
        <w:rPr>
          <w:spacing w:val="-4"/>
        </w:rPr>
        <w:t>Bratt</w:t>
      </w:r>
    </w:p>
    <w:p>
      <w:pPr>
        <w:pStyle w:val="BodyText"/>
        <w:tabs>
          <w:tab w:pos="2914" w:val="right" w:leader="none"/>
        </w:tabs>
        <w:spacing w:before="2"/>
        <w:ind w:left="228"/>
      </w:pPr>
      <w:r>
        <w:rPr/>
        <w:t>Phone:</w:t>
        <w:tab/>
        <w:t>250-653-2401</w:t>
      </w:r>
    </w:p>
    <w:p>
      <w:pPr>
        <w:pStyle w:val="BodyText"/>
        <w:tabs>
          <w:tab w:pos="2914" w:val="right" w:leader="none"/>
        </w:tabs>
        <w:spacing w:before="10"/>
        <w:ind w:left="228"/>
      </w:pPr>
      <w:r>
        <w:rPr/>
        <w:t>Fax:</w:t>
        <w:tab/>
        <w:t>855-427-1534</w:t>
      </w:r>
    </w:p>
    <w:p>
      <w:pPr>
        <w:pStyle w:val="BodyText"/>
        <w:spacing w:before="8"/>
        <w:ind w:left="228"/>
      </w:pPr>
      <w:r>
        <w:rPr/>
        <w:t>File: 2021 - 007</w:t>
      </w:r>
    </w:p>
    <w:p>
      <w:pPr>
        <w:pStyle w:val="BodyText"/>
        <w:rPr>
          <w:sz w:val="22"/>
        </w:rPr>
      </w:pPr>
    </w:p>
    <w:p>
      <w:pPr>
        <w:pStyle w:val="BodyText"/>
        <w:spacing w:before="1"/>
        <w:rPr>
          <w:sz w:val="22"/>
        </w:rPr>
      </w:pPr>
    </w:p>
    <w:p>
      <w:pPr>
        <w:spacing w:before="0"/>
        <w:ind w:left="256" w:right="0" w:firstLine="0"/>
        <w:jc w:val="left"/>
        <w:rPr>
          <w:b/>
          <w:sz w:val="22"/>
        </w:rPr>
      </w:pPr>
      <w:r>
        <w:rPr>
          <w:b/>
          <w:sz w:val="22"/>
        </w:rPr>
        <w:t>AFFIDAVIT OF PETER MATSON</w:t>
      </w:r>
    </w:p>
    <w:p>
      <w:pPr>
        <w:pStyle w:val="BodyText"/>
        <w:rPr>
          <w:b/>
          <w:sz w:val="22"/>
        </w:rPr>
      </w:pPr>
    </w:p>
    <w:p>
      <w:pPr>
        <w:spacing w:before="0"/>
        <w:ind w:left="508" w:right="0" w:firstLine="0"/>
        <w:jc w:val="left"/>
        <w:rPr>
          <w:b/>
          <w:sz w:val="22"/>
        </w:rPr>
      </w:pPr>
      <w:r>
        <w:rPr>
          <w:b/>
          <w:sz w:val="22"/>
        </w:rPr>
        <w:t>Sworn on January 22, 2021</w:t>
      </w:r>
    </w:p>
    <w:p>
      <w:pPr>
        <w:spacing w:after="0"/>
        <w:jc w:val="left"/>
        <w:rPr>
          <w:sz w:val="22"/>
        </w:rPr>
        <w:sectPr>
          <w:type w:val="continuous"/>
          <w:pgSz w:w="12240" w:h="15840"/>
          <w:pgMar w:top="1220" w:bottom="0" w:left="1320" w:right="240"/>
          <w:cols w:num="2" w:equalWidth="0">
            <w:col w:w="2725" w:space="155"/>
            <w:col w:w="7800"/>
          </w:cols>
        </w:sectPr>
      </w:pPr>
    </w:p>
    <w:p>
      <w:pPr>
        <w:pStyle w:val="BodyText"/>
        <w:spacing w:before="6"/>
        <w:rPr>
          <w:b/>
          <w:sz w:val="12"/>
        </w:rPr>
      </w:pPr>
    </w:p>
    <w:p>
      <w:pPr>
        <w:pStyle w:val="BodyText"/>
        <w:spacing w:before="95"/>
        <w:ind w:left="120"/>
      </w:pPr>
      <w:r>
        <w:rPr/>
        <w:t>I, Peter Matson, of the City of Thunder Bay, in the Province of Ontario, SWEAR AND SAY THAT:</w:t>
      </w:r>
    </w:p>
    <w:p>
      <w:pPr>
        <w:pStyle w:val="BodyText"/>
        <w:spacing w:before="10"/>
        <w:rPr>
          <w:sz w:val="30"/>
        </w:rPr>
      </w:pPr>
    </w:p>
    <w:p>
      <w:pPr>
        <w:pStyle w:val="ListParagraph"/>
        <w:numPr>
          <w:ilvl w:val="0"/>
          <w:numId w:val="1"/>
        </w:numPr>
        <w:tabs>
          <w:tab w:pos="840" w:val="left" w:leader="none"/>
        </w:tabs>
        <w:spacing w:line="360" w:lineRule="auto" w:before="1" w:after="0"/>
        <w:ind w:left="840" w:right="1196" w:hanging="720"/>
        <w:jc w:val="both"/>
        <w:rPr>
          <w:sz w:val="20"/>
        </w:rPr>
      </w:pPr>
      <w:bookmarkStart w:name="1. I am a large shareholder and a former" w:id="3"/>
      <w:bookmarkEnd w:id="3"/>
      <w:r>
        <w:rPr/>
      </w:r>
      <w:bookmarkStart w:name="1. I am a large shareholder and a former" w:id="4"/>
      <w:bookmarkEnd w:id="4"/>
      <w:r>
        <w:rPr>
          <w:sz w:val="20"/>
        </w:rPr>
        <w:t>I</w:t>
      </w:r>
      <w:r>
        <w:rPr>
          <w:sz w:val="20"/>
        </w:rPr>
        <w:t> am a large shareholder and a former director of Karnalyte Resources Inc. ("</w:t>
      </w:r>
      <w:r>
        <w:rPr>
          <w:b/>
          <w:sz w:val="20"/>
        </w:rPr>
        <w:t>KRN</w:t>
      </w:r>
      <w:r>
        <w:rPr>
          <w:sz w:val="20"/>
        </w:rPr>
        <w:t>"), and I am familiar with the business, operations </w:t>
      </w:r>
      <w:r>
        <w:rPr>
          <w:spacing w:val="-2"/>
          <w:sz w:val="20"/>
        </w:rPr>
        <w:t>and </w:t>
      </w:r>
      <w:r>
        <w:rPr>
          <w:sz w:val="20"/>
        </w:rPr>
        <w:t>governance of KRN. I have personal knowledge of the matters herein deposed to, except where stated to be based on information and belief, in which case I do verily believe the same to be</w:t>
      </w:r>
      <w:r>
        <w:rPr>
          <w:spacing w:val="-16"/>
          <w:sz w:val="20"/>
        </w:rPr>
        <w:t> </w:t>
      </w:r>
      <w:r>
        <w:rPr>
          <w:sz w:val="20"/>
        </w:rPr>
        <w:t>true.</w:t>
      </w:r>
    </w:p>
    <w:p>
      <w:pPr>
        <w:pStyle w:val="BodyText"/>
        <w:spacing w:before="10"/>
      </w:pPr>
    </w:p>
    <w:p>
      <w:pPr>
        <w:pStyle w:val="ListParagraph"/>
        <w:numPr>
          <w:ilvl w:val="0"/>
          <w:numId w:val="1"/>
        </w:numPr>
        <w:tabs>
          <w:tab w:pos="840" w:val="left" w:leader="none"/>
        </w:tabs>
        <w:spacing w:line="360" w:lineRule="auto" w:before="0" w:after="0"/>
        <w:ind w:left="840" w:right="1196" w:hanging="720"/>
        <w:jc w:val="both"/>
        <w:rPr>
          <w:sz w:val="20"/>
        </w:rPr>
      </w:pPr>
      <w:bookmarkStart w:name="2. I have successfully invested in dozen" w:id="5"/>
      <w:bookmarkEnd w:id="5"/>
      <w:r>
        <w:rPr/>
      </w:r>
      <w:bookmarkStart w:name="2. I have successfully invested in dozen" w:id="6"/>
      <w:bookmarkEnd w:id="6"/>
      <w:r>
        <w:rPr>
          <w:sz w:val="20"/>
        </w:rPr>
        <w:t>I</w:t>
      </w:r>
      <w:r>
        <w:rPr>
          <w:sz w:val="20"/>
        </w:rPr>
        <w:t> have successfully invested in dozens of Canadian mining companies </w:t>
      </w:r>
      <w:r>
        <w:rPr>
          <w:spacing w:val="-2"/>
          <w:sz w:val="20"/>
        </w:rPr>
        <w:t>and </w:t>
      </w:r>
      <w:r>
        <w:rPr>
          <w:sz w:val="20"/>
        </w:rPr>
        <w:t>I am familiar with standard Canadian business practices and how successful Canadian publicly listed mining companies conduct their business and develop their mining</w:t>
      </w:r>
      <w:r>
        <w:rPr>
          <w:spacing w:val="-12"/>
          <w:sz w:val="20"/>
        </w:rPr>
        <w:t> </w:t>
      </w:r>
      <w:r>
        <w:rPr>
          <w:sz w:val="20"/>
        </w:rPr>
        <w:t>projects.</w:t>
      </w:r>
    </w:p>
    <w:p>
      <w:pPr>
        <w:pStyle w:val="BodyText"/>
        <w:spacing w:before="8"/>
        <w:rPr>
          <w:sz w:val="28"/>
        </w:rPr>
      </w:pPr>
      <w:r>
        <w:rPr/>
        <w:drawing>
          <wp:anchor distT="0" distB="0" distL="0" distR="0" allowOverlap="1" layoutInCell="1" locked="0" behindDoc="0" simplePos="0" relativeHeight="0">
            <wp:simplePos x="0" y="0"/>
            <wp:positionH relativeFrom="page">
              <wp:posOffset>6918490</wp:posOffset>
            </wp:positionH>
            <wp:positionV relativeFrom="paragraph">
              <wp:posOffset>234615</wp:posOffset>
            </wp:positionV>
            <wp:extent cx="624382" cy="544068"/>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624382" cy="544068"/>
                    </a:xfrm>
                    <a:prstGeom prst="rect">
                      <a:avLst/>
                    </a:prstGeom>
                  </pic:spPr>
                </pic:pic>
              </a:graphicData>
            </a:graphic>
          </wp:anchor>
        </w:drawing>
      </w:r>
    </w:p>
    <w:p>
      <w:pPr>
        <w:spacing w:after="0"/>
        <w:rPr>
          <w:sz w:val="28"/>
        </w:rPr>
        <w:sectPr>
          <w:type w:val="continuous"/>
          <w:pgSz w:w="12240" w:h="15840"/>
          <w:pgMar w:top="1220" w:bottom="0" w:left="1320" w:right="240"/>
        </w:sectPr>
      </w:pPr>
    </w:p>
    <w:p>
      <w:pPr>
        <w:pStyle w:val="Heading1"/>
        <w:spacing w:before="75"/>
        <w:ind w:left="120" w:firstLine="0"/>
        <w:rPr>
          <w:u w:val="none"/>
        </w:rPr>
      </w:pPr>
      <w:bookmarkStart w:name="Reasonable Expectations" w:id="7"/>
      <w:bookmarkEnd w:id="7"/>
      <w:r>
        <w:rPr>
          <w:b w:val="0"/>
          <w:u w:val="none"/>
        </w:rPr>
      </w:r>
      <w:r>
        <w:rPr>
          <w:u w:val="none"/>
        </w:rPr>
        <w:t>Reasonable Expectations</w:t>
      </w:r>
    </w:p>
    <w:p>
      <w:pPr>
        <w:pStyle w:val="BodyText"/>
        <w:spacing w:before="10"/>
        <w:rPr>
          <w:b/>
          <w:sz w:val="30"/>
        </w:rPr>
      </w:pPr>
    </w:p>
    <w:p>
      <w:pPr>
        <w:pStyle w:val="ListParagraph"/>
        <w:numPr>
          <w:ilvl w:val="0"/>
          <w:numId w:val="1"/>
        </w:numPr>
        <w:tabs>
          <w:tab w:pos="839" w:val="left" w:leader="none"/>
          <w:tab w:pos="840" w:val="left" w:leader="none"/>
        </w:tabs>
        <w:spacing w:line="360" w:lineRule="auto" w:before="0" w:after="0"/>
        <w:ind w:left="839" w:right="1197" w:hanging="720"/>
        <w:jc w:val="left"/>
        <w:rPr>
          <w:sz w:val="20"/>
        </w:rPr>
      </w:pPr>
      <w:bookmarkStart w:name="3. As a shareholder of KRN, a Canadian p" w:id="8"/>
      <w:bookmarkEnd w:id="8"/>
      <w:r>
        <w:rPr/>
      </w:r>
      <w:bookmarkStart w:name="3. As a shareholder of KRN, a Canadian p" w:id="9"/>
      <w:bookmarkEnd w:id="9"/>
      <w:r>
        <w:rPr>
          <w:sz w:val="20"/>
        </w:rPr>
        <w:t>A</w:t>
      </w:r>
      <w:r>
        <w:rPr>
          <w:sz w:val="20"/>
        </w:rPr>
        <w:t>s a shareholder of KRN, a Canadian publicly listed company, I have a reasonable expectation that all directors and officers of KRN</w:t>
      </w:r>
      <w:r>
        <w:rPr>
          <w:spacing w:val="-5"/>
          <w:sz w:val="20"/>
        </w:rPr>
        <w:t> </w:t>
      </w:r>
      <w:r>
        <w:rPr>
          <w:sz w:val="20"/>
        </w:rPr>
        <w:t>will:</w:t>
      </w:r>
    </w:p>
    <w:p>
      <w:pPr>
        <w:pStyle w:val="BodyText"/>
        <w:spacing w:before="11"/>
      </w:pPr>
    </w:p>
    <w:p>
      <w:pPr>
        <w:pStyle w:val="ListParagraph"/>
        <w:numPr>
          <w:ilvl w:val="1"/>
          <w:numId w:val="1"/>
        </w:numPr>
        <w:tabs>
          <w:tab w:pos="1559" w:val="left" w:leader="none"/>
          <w:tab w:pos="1560" w:val="left" w:leader="none"/>
        </w:tabs>
        <w:spacing w:line="350" w:lineRule="auto" w:before="0" w:after="0"/>
        <w:ind w:left="1559" w:right="1195" w:hanging="721"/>
        <w:jc w:val="left"/>
        <w:rPr>
          <w:sz w:val="20"/>
        </w:rPr>
      </w:pPr>
      <w:r>
        <w:rPr>
          <w:sz w:val="20"/>
        </w:rPr>
        <w:t>fully</w:t>
      </w:r>
      <w:r>
        <w:rPr>
          <w:spacing w:val="-6"/>
          <w:sz w:val="20"/>
        </w:rPr>
        <w:t> </w:t>
      </w:r>
      <w:r>
        <w:rPr>
          <w:sz w:val="20"/>
        </w:rPr>
        <w:t>discharge</w:t>
      </w:r>
      <w:r>
        <w:rPr>
          <w:spacing w:val="-6"/>
          <w:sz w:val="20"/>
        </w:rPr>
        <w:t> </w:t>
      </w:r>
      <w:r>
        <w:rPr>
          <w:sz w:val="20"/>
        </w:rPr>
        <w:t>their</w:t>
      </w:r>
      <w:r>
        <w:rPr>
          <w:spacing w:val="-5"/>
          <w:sz w:val="20"/>
        </w:rPr>
        <w:t> </w:t>
      </w:r>
      <w:r>
        <w:rPr>
          <w:sz w:val="20"/>
        </w:rPr>
        <w:t>legal</w:t>
      </w:r>
      <w:r>
        <w:rPr>
          <w:spacing w:val="-7"/>
          <w:sz w:val="20"/>
        </w:rPr>
        <w:t> </w:t>
      </w:r>
      <w:r>
        <w:rPr>
          <w:sz w:val="20"/>
        </w:rPr>
        <w:t>and</w:t>
      </w:r>
      <w:r>
        <w:rPr>
          <w:spacing w:val="-6"/>
          <w:sz w:val="20"/>
        </w:rPr>
        <w:t> </w:t>
      </w:r>
      <w:r>
        <w:rPr>
          <w:sz w:val="20"/>
        </w:rPr>
        <w:t>fiduciary</w:t>
      </w:r>
      <w:r>
        <w:rPr>
          <w:spacing w:val="-5"/>
          <w:sz w:val="20"/>
        </w:rPr>
        <w:t> </w:t>
      </w:r>
      <w:r>
        <w:rPr>
          <w:sz w:val="20"/>
        </w:rPr>
        <w:t>duties</w:t>
      </w:r>
      <w:r>
        <w:rPr>
          <w:spacing w:val="-6"/>
          <w:sz w:val="20"/>
        </w:rPr>
        <w:t> </w:t>
      </w:r>
      <w:r>
        <w:rPr>
          <w:sz w:val="20"/>
        </w:rPr>
        <w:t>to</w:t>
      </w:r>
      <w:r>
        <w:rPr>
          <w:spacing w:val="-6"/>
          <w:sz w:val="20"/>
        </w:rPr>
        <w:t> </w:t>
      </w:r>
      <w:r>
        <w:rPr>
          <w:sz w:val="20"/>
        </w:rPr>
        <w:t>act</w:t>
      </w:r>
      <w:r>
        <w:rPr>
          <w:spacing w:val="-6"/>
          <w:sz w:val="20"/>
        </w:rPr>
        <w:t> </w:t>
      </w:r>
      <w:r>
        <w:rPr>
          <w:sz w:val="20"/>
        </w:rPr>
        <w:t>honestly,</w:t>
      </w:r>
      <w:r>
        <w:rPr>
          <w:spacing w:val="-7"/>
          <w:sz w:val="20"/>
        </w:rPr>
        <w:t> </w:t>
      </w:r>
      <w:r>
        <w:rPr>
          <w:sz w:val="20"/>
        </w:rPr>
        <w:t>with</w:t>
      </w:r>
      <w:r>
        <w:rPr>
          <w:spacing w:val="-5"/>
          <w:sz w:val="20"/>
        </w:rPr>
        <w:t> </w:t>
      </w:r>
      <w:r>
        <w:rPr>
          <w:sz w:val="20"/>
        </w:rPr>
        <w:t>integrity,</w:t>
      </w:r>
      <w:r>
        <w:rPr>
          <w:spacing w:val="-7"/>
          <w:sz w:val="20"/>
        </w:rPr>
        <w:t> </w:t>
      </w:r>
      <w:r>
        <w:rPr>
          <w:sz w:val="20"/>
        </w:rPr>
        <w:t>and</w:t>
      </w:r>
      <w:r>
        <w:rPr>
          <w:spacing w:val="-6"/>
          <w:sz w:val="20"/>
        </w:rPr>
        <w:t> </w:t>
      </w:r>
      <w:r>
        <w:rPr>
          <w:sz w:val="20"/>
        </w:rPr>
        <w:t>in</w:t>
      </w:r>
      <w:r>
        <w:rPr>
          <w:spacing w:val="-5"/>
          <w:sz w:val="20"/>
        </w:rPr>
        <w:t> </w:t>
      </w:r>
      <w:r>
        <w:rPr>
          <w:sz w:val="20"/>
        </w:rPr>
        <w:t>the</w:t>
      </w:r>
      <w:r>
        <w:rPr>
          <w:spacing w:val="-6"/>
          <w:sz w:val="20"/>
        </w:rPr>
        <w:t> </w:t>
      </w:r>
      <w:r>
        <w:rPr>
          <w:sz w:val="20"/>
        </w:rPr>
        <w:t>best interests of all</w:t>
      </w:r>
      <w:r>
        <w:rPr>
          <w:spacing w:val="-3"/>
          <w:sz w:val="20"/>
        </w:rPr>
        <w:t> </w:t>
      </w:r>
      <w:r>
        <w:rPr>
          <w:sz w:val="20"/>
        </w:rPr>
        <w:t>shareholders;</w:t>
      </w:r>
    </w:p>
    <w:p>
      <w:pPr>
        <w:pStyle w:val="BodyText"/>
        <w:spacing w:before="9"/>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fully comply with KRN’S code of</w:t>
      </w:r>
      <w:r>
        <w:rPr>
          <w:spacing w:val="-7"/>
          <w:sz w:val="20"/>
        </w:rPr>
        <w:t> </w:t>
      </w:r>
      <w:r>
        <w:rPr>
          <w:sz w:val="20"/>
        </w:rPr>
        <w:t>conduct;</w:t>
      </w:r>
    </w:p>
    <w:p>
      <w:pPr>
        <w:pStyle w:val="BodyText"/>
        <w:spacing w:before="8"/>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fully comply with Canadian securities laws and TSX rules and</w:t>
      </w:r>
      <w:r>
        <w:rPr>
          <w:spacing w:val="-11"/>
          <w:sz w:val="20"/>
        </w:rPr>
        <w:t> </w:t>
      </w:r>
      <w:r>
        <w:rPr>
          <w:sz w:val="20"/>
        </w:rPr>
        <w:t>regulations;</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maintain the confidentiality of material, non-public</w:t>
      </w:r>
      <w:r>
        <w:rPr>
          <w:spacing w:val="-8"/>
          <w:sz w:val="20"/>
        </w:rPr>
        <w:t> </w:t>
      </w:r>
      <w:r>
        <w:rPr>
          <w:sz w:val="20"/>
        </w:rPr>
        <w:t>information;</w:t>
      </w:r>
    </w:p>
    <w:p>
      <w:pPr>
        <w:pStyle w:val="BodyText"/>
        <w:spacing w:before="8"/>
        <w:rPr>
          <w:sz w:val="30"/>
        </w:rPr>
      </w:pPr>
    </w:p>
    <w:p>
      <w:pPr>
        <w:pStyle w:val="ListParagraph"/>
        <w:numPr>
          <w:ilvl w:val="1"/>
          <w:numId w:val="1"/>
        </w:numPr>
        <w:tabs>
          <w:tab w:pos="1559" w:val="left" w:leader="none"/>
          <w:tab w:pos="1560" w:val="left" w:leader="none"/>
        </w:tabs>
        <w:spacing w:line="240" w:lineRule="auto" w:before="1" w:after="0"/>
        <w:ind w:left="1559" w:right="0" w:hanging="721"/>
        <w:jc w:val="left"/>
        <w:rPr>
          <w:sz w:val="20"/>
        </w:rPr>
      </w:pPr>
      <w:r>
        <w:rPr>
          <w:sz w:val="20"/>
        </w:rPr>
        <w:t>not make misrepresentations in its public disclosure to the Canadian capital</w:t>
      </w:r>
      <w:r>
        <w:rPr>
          <w:spacing w:val="-17"/>
          <w:sz w:val="20"/>
        </w:rPr>
        <w:t> </w:t>
      </w:r>
      <w:r>
        <w:rPr>
          <w:sz w:val="20"/>
        </w:rPr>
        <w:t>markets;</w:t>
      </w:r>
    </w:p>
    <w:p>
      <w:pPr>
        <w:pStyle w:val="BodyText"/>
        <w:spacing w:before="7"/>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fully comply with all other laws, rules and regulations applicable to KRN and its</w:t>
      </w:r>
      <w:r>
        <w:rPr>
          <w:spacing w:val="-19"/>
          <w:sz w:val="20"/>
        </w:rPr>
        <w:t> </w:t>
      </w:r>
      <w:r>
        <w:rPr>
          <w:sz w:val="20"/>
        </w:rPr>
        <w:t>business;</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avoid conflicts of interest and</w:t>
      </w:r>
      <w:r>
        <w:rPr>
          <w:spacing w:val="-5"/>
          <w:sz w:val="20"/>
        </w:rPr>
        <w:t> </w:t>
      </w:r>
      <w:r>
        <w:rPr>
          <w:sz w:val="20"/>
        </w:rPr>
        <w:t>self-dealing;</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fully comply with all contractual</w:t>
      </w:r>
      <w:r>
        <w:rPr>
          <w:spacing w:val="-5"/>
          <w:sz w:val="20"/>
        </w:rPr>
        <w:t> </w:t>
      </w:r>
      <w:r>
        <w:rPr>
          <w:sz w:val="20"/>
        </w:rPr>
        <w:t>agreements;</w:t>
      </w:r>
    </w:p>
    <w:p>
      <w:pPr>
        <w:pStyle w:val="BodyText"/>
        <w:spacing w:before="8"/>
        <w:rPr>
          <w:sz w:val="30"/>
        </w:rPr>
      </w:pPr>
    </w:p>
    <w:p>
      <w:pPr>
        <w:pStyle w:val="ListParagraph"/>
        <w:numPr>
          <w:ilvl w:val="1"/>
          <w:numId w:val="1"/>
        </w:numPr>
        <w:tabs>
          <w:tab w:pos="1559" w:val="left" w:leader="none"/>
          <w:tab w:pos="1560" w:val="left" w:leader="none"/>
        </w:tabs>
        <w:spacing w:line="350" w:lineRule="auto" w:before="1" w:after="0"/>
        <w:ind w:left="1559" w:right="1197" w:hanging="721"/>
        <w:jc w:val="left"/>
        <w:rPr>
          <w:sz w:val="20"/>
        </w:rPr>
      </w:pPr>
      <w:r>
        <w:rPr>
          <w:sz w:val="20"/>
        </w:rPr>
        <w:t>hire competent management, with the requisite skills, qualifications, background and experience, relevant to the company’s</w:t>
      </w:r>
      <w:r>
        <w:rPr>
          <w:spacing w:val="-6"/>
          <w:sz w:val="20"/>
        </w:rPr>
        <w:t> </w:t>
      </w:r>
      <w:r>
        <w:rPr>
          <w:sz w:val="20"/>
        </w:rPr>
        <w:t>business;</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1196" w:hanging="721"/>
        <w:jc w:val="left"/>
        <w:rPr>
          <w:sz w:val="20"/>
        </w:rPr>
      </w:pPr>
      <w:r>
        <w:rPr>
          <w:sz w:val="20"/>
        </w:rPr>
        <w:t>spend</w:t>
      </w:r>
      <w:r>
        <w:rPr>
          <w:spacing w:val="-5"/>
          <w:sz w:val="20"/>
        </w:rPr>
        <w:t> </w:t>
      </w:r>
      <w:r>
        <w:rPr>
          <w:sz w:val="20"/>
        </w:rPr>
        <w:t>the</w:t>
      </w:r>
      <w:r>
        <w:rPr>
          <w:spacing w:val="-5"/>
          <w:sz w:val="20"/>
        </w:rPr>
        <w:t> </w:t>
      </w:r>
      <w:r>
        <w:rPr>
          <w:sz w:val="20"/>
        </w:rPr>
        <w:t>proceeds</w:t>
      </w:r>
      <w:r>
        <w:rPr>
          <w:spacing w:val="-4"/>
          <w:sz w:val="20"/>
        </w:rPr>
        <w:t> </w:t>
      </w:r>
      <w:r>
        <w:rPr>
          <w:sz w:val="20"/>
        </w:rPr>
        <w:t>of</w:t>
      </w:r>
      <w:r>
        <w:rPr>
          <w:spacing w:val="-6"/>
          <w:sz w:val="20"/>
        </w:rPr>
        <w:t> </w:t>
      </w:r>
      <w:r>
        <w:rPr>
          <w:sz w:val="20"/>
        </w:rPr>
        <w:t>a</w:t>
      </w:r>
      <w:r>
        <w:rPr>
          <w:spacing w:val="-4"/>
          <w:sz w:val="20"/>
        </w:rPr>
        <w:t> </w:t>
      </w:r>
      <w:r>
        <w:rPr>
          <w:sz w:val="20"/>
        </w:rPr>
        <w:t>public</w:t>
      </w:r>
      <w:r>
        <w:rPr>
          <w:spacing w:val="-5"/>
          <w:sz w:val="20"/>
        </w:rPr>
        <w:t> </w:t>
      </w:r>
      <w:r>
        <w:rPr>
          <w:sz w:val="20"/>
        </w:rPr>
        <w:t>offering</w:t>
      </w:r>
      <w:r>
        <w:rPr>
          <w:spacing w:val="-5"/>
          <w:sz w:val="20"/>
        </w:rPr>
        <w:t> </w:t>
      </w:r>
      <w:r>
        <w:rPr>
          <w:sz w:val="20"/>
        </w:rPr>
        <w:t>of</w:t>
      </w:r>
      <w:r>
        <w:rPr>
          <w:spacing w:val="-5"/>
          <w:sz w:val="20"/>
        </w:rPr>
        <w:t> </w:t>
      </w:r>
      <w:r>
        <w:rPr>
          <w:sz w:val="20"/>
        </w:rPr>
        <w:t>securities</w:t>
      </w:r>
      <w:r>
        <w:rPr>
          <w:spacing w:val="-5"/>
          <w:sz w:val="20"/>
        </w:rPr>
        <w:t> </w:t>
      </w:r>
      <w:r>
        <w:rPr>
          <w:sz w:val="20"/>
        </w:rPr>
        <w:t>that</w:t>
      </w:r>
      <w:r>
        <w:rPr>
          <w:spacing w:val="-5"/>
          <w:sz w:val="20"/>
        </w:rPr>
        <w:t> </w:t>
      </w:r>
      <w:r>
        <w:rPr>
          <w:sz w:val="20"/>
        </w:rPr>
        <w:t>I</w:t>
      </w:r>
      <w:r>
        <w:rPr>
          <w:spacing w:val="-6"/>
          <w:sz w:val="20"/>
        </w:rPr>
        <w:t> </w:t>
      </w:r>
      <w:r>
        <w:rPr>
          <w:sz w:val="20"/>
        </w:rPr>
        <w:t>invest</w:t>
      </w:r>
      <w:r>
        <w:rPr>
          <w:spacing w:val="-6"/>
          <w:sz w:val="20"/>
        </w:rPr>
        <w:t> </w:t>
      </w:r>
      <w:r>
        <w:rPr>
          <w:sz w:val="20"/>
        </w:rPr>
        <w:t>in,</w:t>
      </w:r>
      <w:r>
        <w:rPr>
          <w:spacing w:val="-5"/>
          <w:sz w:val="20"/>
        </w:rPr>
        <w:t> </w:t>
      </w:r>
      <w:r>
        <w:rPr>
          <w:sz w:val="20"/>
        </w:rPr>
        <w:t>in</w:t>
      </w:r>
      <w:r>
        <w:rPr>
          <w:spacing w:val="-5"/>
          <w:sz w:val="20"/>
        </w:rPr>
        <w:t> </w:t>
      </w:r>
      <w:r>
        <w:rPr>
          <w:sz w:val="20"/>
        </w:rPr>
        <w:t>accordance</w:t>
      </w:r>
      <w:r>
        <w:rPr>
          <w:spacing w:val="-5"/>
          <w:sz w:val="20"/>
        </w:rPr>
        <w:t> </w:t>
      </w:r>
      <w:r>
        <w:rPr>
          <w:sz w:val="20"/>
        </w:rPr>
        <w:t>with</w:t>
      </w:r>
      <w:r>
        <w:rPr>
          <w:spacing w:val="-5"/>
          <w:sz w:val="20"/>
        </w:rPr>
        <w:t> </w:t>
      </w:r>
      <w:r>
        <w:rPr>
          <w:sz w:val="20"/>
        </w:rPr>
        <w:t>the stated use of</w:t>
      </w:r>
      <w:r>
        <w:rPr>
          <w:spacing w:val="-4"/>
          <w:sz w:val="20"/>
        </w:rPr>
        <w:t> </w:t>
      </w:r>
      <w:r>
        <w:rPr>
          <w:sz w:val="20"/>
        </w:rPr>
        <w:t>proceeds;</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1198" w:hanging="721"/>
        <w:jc w:val="left"/>
        <w:rPr>
          <w:sz w:val="20"/>
        </w:rPr>
      </w:pPr>
      <w:r>
        <w:rPr>
          <w:sz w:val="20"/>
        </w:rPr>
        <w:t>hold meetings of shareholders, and in particular special meetings requisitioned by shareholders, within a reasonable time frame after being</w:t>
      </w:r>
      <w:r>
        <w:rPr>
          <w:spacing w:val="-12"/>
          <w:sz w:val="20"/>
        </w:rPr>
        <w:t> </w:t>
      </w:r>
      <w:r>
        <w:rPr>
          <w:sz w:val="20"/>
        </w:rPr>
        <w:t>called;</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1198" w:hanging="721"/>
        <w:jc w:val="left"/>
        <w:rPr>
          <w:sz w:val="20"/>
        </w:rPr>
      </w:pPr>
      <w:r>
        <w:rPr>
          <w:sz w:val="20"/>
        </w:rPr>
        <w:t>when</w:t>
      </w:r>
      <w:r>
        <w:rPr>
          <w:spacing w:val="-12"/>
          <w:sz w:val="20"/>
        </w:rPr>
        <w:t> </w:t>
      </w:r>
      <w:r>
        <w:rPr>
          <w:sz w:val="20"/>
        </w:rPr>
        <w:t>shareholder</w:t>
      </w:r>
      <w:r>
        <w:rPr>
          <w:spacing w:val="-12"/>
          <w:sz w:val="20"/>
        </w:rPr>
        <w:t> </w:t>
      </w:r>
      <w:r>
        <w:rPr>
          <w:sz w:val="20"/>
        </w:rPr>
        <w:t>disputes</w:t>
      </w:r>
      <w:r>
        <w:rPr>
          <w:spacing w:val="-12"/>
          <w:sz w:val="20"/>
        </w:rPr>
        <w:t> </w:t>
      </w:r>
      <w:r>
        <w:rPr>
          <w:sz w:val="20"/>
        </w:rPr>
        <w:t>arise,</w:t>
      </w:r>
      <w:r>
        <w:rPr>
          <w:spacing w:val="-13"/>
          <w:sz w:val="20"/>
        </w:rPr>
        <w:t> </w:t>
      </w:r>
      <w:r>
        <w:rPr>
          <w:sz w:val="20"/>
        </w:rPr>
        <w:t>and</w:t>
      </w:r>
      <w:r>
        <w:rPr>
          <w:spacing w:val="-12"/>
          <w:sz w:val="20"/>
        </w:rPr>
        <w:t> </w:t>
      </w:r>
      <w:r>
        <w:rPr>
          <w:sz w:val="20"/>
        </w:rPr>
        <w:t>settlement</w:t>
      </w:r>
      <w:r>
        <w:rPr>
          <w:spacing w:val="-13"/>
          <w:sz w:val="20"/>
        </w:rPr>
        <w:t> </w:t>
      </w:r>
      <w:r>
        <w:rPr>
          <w:sz w:val="20"/>
        </w:rPr>
        <w:t>discussions</w:t>
      </w:r>
      <w:r>
        <w:rPr>
          <w:spacing w:val="-12"/>
          <w:sz w:val="20"/>
        </w:rPr>
        <w:t> </w:t>
      </w:r>
      <w:r>
        <w:rPr>
          <w:sz w:val="20"/>
        </w:rPr>
        <w:t>are</w:t>
      </w:r>
      <w:r>
        <w:rPr>
          <w:spacing w:val="-12"/>
          <w:sz w:val="20"/>
        </w:rPr>
        <w:t> </w:t>
      </w:r>
      <w:r>
        <w:rPr>
          <w:sz w:val="20"/>
        </w:rPr>
        <w:t>ongoing,</w:t>
      </w:r>
      <w:r>
        <w:rPr>
          <w:spacing w:val="-12"/>
          <w:sz w:val="20"/>
        </w:rPr>
        <w:t> </w:t>
      </w:r>
      <w:r>
        <w:rPr>
          <w:sz w:val="20"/>
        </w:rPr>
        <w:t>not</w:t>
      </w:r>
      <w:r>
        <w:rPr>
          <w:spacing w:val="-13"/>
          <w:sz w:val="20"/>
        </w:rPr>
        <w:t> </w:t>
      </w:r>
      <w:r>
        <w:rPr>
          <w:sz w:val="20"/>
        </w:rPr>
        <w:t>intentionally sabotage such discussions before they reach their natural conclusion;</w:t>
      </w:r>
      <w:r>
        <w:rPr>
          <w:spacing w:val="-14"/>
          <w:sz w:val="20"/>
        </w:rPr>
        <w:t> </w:t>
      </w:r>
      <w:r>
        <w:rPr>
          <w:sz w:val="20"/>
        </w:rPr>
        <w:t>and</w:t>
      </w:r>
    </w:p>
    <w:p>
      <w:pPr>
        <w:pStyle w:val="BodyText"/>
        <w:spacing w:before="9"/>
        <w:rPr>
          <w:sz w:val="21"/>
        </w:rPr>
      </w:pPr>
    </w:p>
    <w:p>
      <w:pPr>
        <w:pStyle w:val="ListParagraph"/>
        <w:numPr>
          <w:ilvl w:val="1"/>
          <w:numId w:val="1"/>
        </w:numPr>
        <w:tabs>
          <w:tab w:pos="1559" w:val="left" w:leader="none"/>
          <w:tab w:pos="1560" w:val="left" w:leader="none"/>
        </w:tabs>
        <w:spacing w:line="350" w:lineRule="auto" w:before="0" w:after="0"/>
        <w:ind w:left="1559" w:right="1196" w:hanging="721"/>
        <w:jc w:val="left"/>
        <w:rPr>
          <w:sz w:val="20"/>
        </w:rPr>
      </w:pPr>
      <w:r>
        <w:rPr>
          <w:sz w:val="20"/>
        </w:rPr>
        <w:t>conduct a Canadian business in accordance with standard Canadian business practices, rather than in accordance with the business practices of a foreign</w:t>
      </w:r>
      <w:r>
        <w:rPr>
          <w:spacing w:val="-17"/>
          <w:sz w:val="20"/>
        </w:rPr>
        <w:t> </w:t>
      </w:r>
      <w:r>
        <w:rPr>
          <w:sz w:val="20"/>
        </w:rPr>
        <w:t>country.</w:t>
      </w:r>
    </w:p>
    <w:p>
      <w:pPr>
        <w:spacing w:after="0" w:line="350" w:lineRule="auto"/>
        <w:jc w:val="left"/>
        <w:rPr>
          <w:sz w:val="20"/>
        </w:rPr>
        <w:sectPr>
          <w:footerReference w:type="default" r:id="rId7"/>
          <w:pgSz w:w="12240" w:h="15840"/>
          <w:pgMar w:footer="971" w:header="0" w:top="1220" w:bottom="1160" w:left="1320" w:right="240"/>
          <w:pgNumType w:start="2"/>
        </w:sectPr>
      </w:pPr>
    </w:p>
    <w:p>
      <w:pPr>
        <w:pStyle w:val="Heading1"/>
        <w:spacing w:before="75"/>
        <w:ind w:left="120" w:firstLine="0"/>
        <w:rPr>
          <w:u w:val="none"/>
        </w:rPr>
      </w:pPr>
      <w:bookmarkStart w:name="Background" w:id="10"/>
      <w:bookmarkEnd w:id="10"/>
      <w:r>
        <w:rPr>
          <w:b w:val="0"/>
          <w:u w:val="none"/>
        </w:rPr>
      </w:r>
      <w:r>
        <w:rPr>
          <w:u w:val="none"/>
        </w:rPr>
        <w:t>Background</w:t>
      </w:r>
    </w:p>
    <w:p>
      <w:pPr>
        <w:pStyle w:val="BodyText"/>
        <w:spacing w:before="10"/>
        <w:rPr>
          <w:b/>
          <w:sz w:val="30"/>
        </w:rPr>
      </w:pPr>
    </w:p>
    <w:p>
      <w:pPr>
        <w:pStyle w:val="ListParagraph"/>
        <w:numPr>
          <w:ilvl w:val="0"/>
          <w:numId w:val="1"/>
        </w:numPr>
        <w:tabs>
          <w:tab w:pos="840" w:val="left" w:leader="none"/>
        </w:tabs>
        <w:spacing w:line="360" w:lineRule="auto" w:before="0" w:after="0"/>
        <w:ind w:left="839" w:right="1196" w:hanging="720"/>
        <w:jc w:val="both"/>
        <w:rPr>
          <w:sz w:val="20"/>
        </w:rPr>
      </w:pPr>
      <w:bookmarkStart w:name="4. KRN was incorporated in Alberta on No" w:id="11"/>
      <w:bookmarkEnd w:id="11"/>
      <w:r>
        <w:rPr/>
      </w:r>
      <w:bookmarkStart w:name="4. KRN was incorporated in Alberta on No" w:id="12"/>
      <w:bookmarkEnd w:id="12"/>
      <w:r>
        <w:rPr>
          <w:sz w:val="20"/>
        </w:rPr>
        <w:t>K</w:t>
      </w:r>
      <w:r>
        <w:rPr>
          <w:sz w:val="20"/>
        </w:rPr>
        <w:t>RN was incorporated in Alberta on November 16, 2007 and is a Saskatchewan-headquarted company that is focused on the development of a conventional solution potash mine in Wynyard, Saskatchewan</w:t>
      </w:r>
      <w:r>
        <w:rPr>
          <w:spacing w:val="-12"/>
          <w:sz w:val="20"/>
        </w:rPr>
        <w:t> </w:t>
      </w:r>
      <w:r>
        <w:rPr>
          <w:sz w:val="20"/>
        </w:rPr>
        <w:t>(the</w:t>
      </w:r>
      <w:r>
        <w:rPr>
          <w:spacing w:val="-12"/>
          <w:sz w:val="20"/>
        </w:rPr>
        <w:t> </w:t>
      </w:r>
      <w:r>
        <w:rPr>
          <w:sz w:val="20"/>
        </w:rPr>
        <w:t>"</w:t>
      </w:r>
      <w:r>
        <w:rPr>
          <w:b/>
          <w:sz w:val="20"/>
        </w:rPr>
        <w:t>Potash</w:t>
      </w:r>
      <w:r>
        <w:rPr>
          <w:b/>
          <w:spacing w:val="-13"/>
          <w:sz w:val="20"/>
        </w:rPr>
        <w:t> </w:t>
      </w:r>
      <w:r>
        <w:rPr>
          <w:b/>
          <w:sz w:val="20"/>
        </w:rPr>
        <w:t>Project</w:t>
      </w:r>
      <w:r>
        <w:rPr>
          <w:sz w:val="20"/>
        </w:rPr>
        <w:t>").</w:t>
      </w:r>
      <w:r>
        <w:rPr>
          <w:spacing w:val="32"/>
          <w:sz w:val="20"/>
        </w:rPr>
        <w:t> </w:t>
      </w:r>
      <w:r>
        <w:rPr>
          <w:sz w:val="20"/>
        </w:rPr>
        <w:t>KRN</w:t>
      </w:r>
      <w:r>
        <w:rPr>
          <w:spacing w:val="-12"/>
          <w:sz w:val="20"/>
        </w:rPr>
        <w:t> </w:t>
      </w:r>
      <w:r>
        <w:rPr>
          <w:sz w:val="20"/>
        </w:rPr>
        <w:t>is</w:t>
      </w:r>
      <w:r>
        <w:rPr>
          <w:spacing w:val="-12"/>
          <w:sz w:val="20"/>
        </w:rPr>
        <w:t> </w:t>
      </w:r>
      <w:r>
        <w:rPr>
          <w:sz w:val="20"/>
        </w:rPr>
        <w:t>also</w:t>
      </w:r>
      <w:r>
        <w:rPr>
          <w:spacing w:val="-12"/>
          <w:sz w:val="20"/>
        </w:rPr>
        <w:t> </w:t>
      </w:r>
      <w:r>
        <w:rPr>
          <w:sz w:val="20"/>
        </w:rPr>
        <w:t>investingating</w:t>
      </w:r>
      <w:r>
        <w:rPr>
          <w:spacing w:val="-12"/>
          <w:sz w:val="20"/>
        </w:rPr>
        <w:t> </w:t>
      </w:r>
      <w:r>
        <w:rPr>
          <w:sz w:val="20"/>
        </w:rPr>
        <w:t>the</w:t>
      </w:r>
      <w:r>
        <w:rPr>
          <w:spacing w:val="-12"/>
          <w:sz w:val="20"/>
        </w:rPr>
        <w:t> </w:t>
      </w:r>
      <w:r>
        <w:rPr>
          <w:sz w:val="20"/>
        </w:rPr>
        <w:t>potential</w:t>
      </w:r>
      <w:r>
        <w:rPr>
          <w:spacing w:val="-12"/>
          <w:sz w:val="20"/>
        </w:rPr>
        <w:t> </w:t>
      </w:r>
      <w:r>
        <w:rPr>
          <w:sz w:val="20"/>
        </w:rPr>
        <w:t>for</w:t>
      </w:r>
      <w:r>
        <w:rPr>
          <w:spacing w:val="-12"/>
          <w:sz w:val="20"/>
        </w:rPr>
        <w:t> </w:t>
      </w:r>
      <w:r>
        <w:rPr>
          <w:sz w:val="20"/>
        </w:rPr>
        <w:t>a</w:t>
      </w:r>
      <w:r>
        <w:rPr>
          <w:spacing w:val="-12"/>
          <w:sz w:val="20"/>
        </w:rPr>
        <w:t> </w:t>
      </w:r>
      <w:r>
        <w:rPr>
          <w:sz w:val="20"/>
        </w:rPr>
        <w:t>regional-scale nitrogen</w:t>
      </w:r>
      <w:r>
        <w:rPr>
          <w:spacing w:val="-15"/>
          <w:sz w:val="20"/>
        </w:rPr>
        <w:t> </w:t>
      </w:r>
      <w:r>
        <w:rPr>
          <w:sz w:val="20"/>
        </w:rPr>
        <w:t>fertilizer</w:t>
      </w:r>
      <w:r>
        <w:rPr>
          <w:spacing w:val="-16"/>
          <w:sz w:val="20"/>
        </w:rPr>
        <w:t> </w:t>
      </w:r>
      <w:r>
        <w:rPr>
          <w:sz w:val="20"/>
        </w:rPr>
        <w:t>plant</w:t>
      </w:r>
      <w:r>
        <w:rPr>
          <w:spacing w:val="-15"/>
          <w:sz w:val="20"/>
        </w:rPr>
        <w:t> </w:t>
      </w:r>
      <w:r>
        <w:rPr>
          <w:sz w:val="20"/>
        </w:rPr>
        <w:t>in</w:t>
      </w:r>
      <w:r>
        <w:rPr>
          <w:spacing w:val="-15"/>
          <w:sz w:val="20"/>
        </w:rPr>
        <w:t> </w:t>
      </w:r>
      <w:r>
        <w:rPr>
          <w:sz w:val="20"/>
        </w:rPr>
        <w:t>Saskatchewan</w:t>
      </w:r>
      <w:r>
        <w:rPr>
          <w:spacing w:val="-16"/>
          <w:sz w:val="20"/>
        </w:rPr>
        <w:t> </w:t>
      </w:r>
      <w:r>
        <w:rPr>
          <w:sz w:val="20"/>
        </w:rPr>
        <w:t>(the</w:t>
      </w:r>
      <w:r>
        <w:rPr>
          <w:spacing w:val="-15"/>
          <w:sz w:val="20"/>
        </w:rPr>
        <w:t> </w:t>
      </w:r>
      <w:r>
        <w:rPr>
          <w:sz w:val="20"/>
        </w:rPr>
        <w:t>“</w:t>
      </w:r>
      <w:r>
        <w:rPr>
          <w:b/>
          <w:sz w:val="20"/>
        </w:rPr>
        <w:t>Nitrogen</w:t>
      </w:r>
      <w:r>
        <w:rPr>
          <w:b/>
          <w:spacing w:val="-15"/>
          <w:sz w:val="20"/>
        </w:rPr>
        <w:t> </w:t>
      </w:r>
      <w:r>
        <w:rPr>
          <w:b/>
          <w:sz w:val="20"/>
        </w:rPr>
        <w:t>Project</w:t>
      </w:r>
      <w:r>
        <w:rPr>
          <w:sz w:val="20"/>
        </w:rPr>
        <w:t>”).</w:t>
      </w:r>
      <w:r>
        <w:rPr>
          <w:spacing w:val="24"/>
          <w:sz w:val="20"/>
        </w:rPr>
        <w:t> </w:t>
      </w:r>
      <w:r>
        <w:rPr>
          <w:sz w:val="20"/>
        </w:rPr>
        <w:t>Attached</w:t>
      </w:r>
      <w:r>
        <w:rPr>
          <w:spacing w:val="-16"/>
          <w:sz w:val="20"/>
        </w:rPr>
        <w:t> </w:t>
      </w:r>
      <w:r>
        <w:rPr>
          <w:sz w:val="20"/>
        </w:rPr>
        <w:t>and</w:t>
      </w:r>
      <w:r>
        <w:rPr>
          <w:spacing w:val="-16"/>
          <w:sz w:val="20"/>
        </w:rPr>
        <w:t> </w:t>
      </w:r>
      <w:r>
        <w:rPr>
          <w:sz w:val="20"/>
        </w:rPr>
        <w:t>marked</w:t>
      </w:r>
      <w:r>
        <w:rPr>
          <w:spacing w:val="-15"/>
          <w:sz w:val="20"/>
        </w:rPr>
        <w:t> </w:t>
      </w:r>
      <w:r>
        <w:rPr>
          <w:sz w:val="20"/>
        </w:rPr>
        <w:t>as</w:t>
      </w:r>
      <w:r>
        <w:rPr>
          <w:spacing w:val="-16"/>
          <w:sz w:val="20"/>
        </w:rPr>
        <w:t> </w:t>
      </w:r>
      <w:r>
        <w:rPr>
          <w:b/>
          <w:sz w:val="20"/>
        </w:rPr>
        <w:t>Exhibit “A” </w:t>
      </w:r>
      <w:r>
        <w:rPr>
          <w:sz w:val="20"/>
        </w:rPr>
        <w:t>to Affidavit No.1 of Frank Wheatley (the “</w:t>
      </w:r>
      <w:r>
        <w:rPr>
          <w:b/>
          <w:sz w:val="20"/>
        </w:rPr>
        <w:t>FDW Affidavit</w:t>
      </w:r>
      <w:r>
        <w:rPr>
          <w:sz w:val="20"/>
        </w:rPr>
        <w:t>”), sworn on January 23, 2021, which I have reviewed, is a copy of a corporate registry search for</w:t>
      </w:r>
      <w:r>
        <w:rPr>
          <w:spacing w:val="-14"/>
          <w:sz w:val="20"/>
        </w:rPr>
        <w:t> </w:t>
      </w:r>
      <w:r>
        <w:rPr>
          <w:sz w:val="20"/>
        </w:rPr>
        <w:t>KRN.</w:t>
      </w:r>
    </w:p>
    <w:p>
      <w:pPr>
        <w:pStyle w:val="BodyText"/>
        <w:spacing w:before="10"/>
      </w:pPr>
    </w:p>
    <w:p>
      <w:pPr>
        <w:pStyle w:val="ListParagraph"/>
        <w:numPr>
          <w:ilvl w:val="0"/>
          <w:numId w:val="1"/>
        </w:numPr>
        <w:tabs>
          <w:tab w:pos="840" w:val="left" w:leader="none"/>
        </w:tabs>
        <w:spacing w:line="360" w:lineRule="auto" w:before="0" w:after="0"/>
        <w:ind w:left="839" w:right="1197" w:hanging="720"/>
        <w:jc w:val="both"/>
        <w:rPr>
          <w:sz w:val="20"/>
        </w:rPr>
      </w:pPr>
      <w:bookmarkStart w:name="5. KRN is a publicly traded corporation " w:id="13"/>
      <w:bookmarkEnd w:id="13"/>
      <w:r>
        <w:rPr/>
      </w:r>
      <w:bookmarkStart w:name="5. KRN is a publicly traded corporation " w:id="14"/>
      <w:bookmarkEnd w:id="14"/>
      <w:r>
        <w:rPr>
          <w:sz w:val="20"/>
        </w:rPr>
        <w:t>K</w:t>
      </w:r>
      <w:r>
        <w:rPr>
          <w:sz w:val="20"/>
        </w:rPr>
        <w:t>RN is a publicly traded corporation on the Toronto Stock Exchange (the “</w:t>
      </w:r>
      <w:r>
        <w:rPr>
          <w:b/>
          <w:sz w:val="20"/>
        </w:rPr>
        <w:t>TSX</w:t>
      </w:r>
      <w:r>
        <w:rPr>
          <w:sz w:val="20"/>
        </w:rPr>
        <w:t>”) , and is listed under the trading symbol “</w:t>
      </w:r>
      <w:r>
        <w:rPr>
          <w:b/>
          <w:sz w:val="20"/>
        </w:rPr>
        <w:t>KRN</w:t>
      </w:r>
      <w:r>
        <w:rPr>
          <w:sz w:val="20"/>
        </w:rPr>
        <w:t>”. Attached and marked as </w:t>
      </w:r>
      <w:r>
        <w:rPr>
          <w:b/>
          <w:sz w:val="20"/>
        </w:rPr>
        <w:t>Exhibit “B” </w:t>
      </w:r>
      <w:r>
        <w:rPr>
          <w:sz w:val="20"/>
        </w:rPr>
        <w:t>to the FDW Affidavit is a copy of a screenshot of the TSX website showing Karnalyte as a TSX listed</w:t>
      </w:r>
      <w:r>
        <w:rPr>
          <w:spacing w:val="-20"/>
          <w:sz w:val="20"/>
        </w:rPr>
        <w:t> </w:t>
      </w:r>
      <w:r>
        <w:rPr>
          <w:sz w:val="20"/>
        </w:rPr>
        <w:t>company.</w:t>
      </w:r>
    </w:p>
    <w:p>
      <w:pPr>
        <w:pStyle w:val="BodyText"/>
        <w:spacing w:before="11"/>
      </w:pPr>
    </w:p>
    <w:p>
      <w:pPr>
        <w:pStyle w:val="ListParagraph"/>
        <w:numPr>
          <w:ilvl w:val="0"/>
          <w:numId w:val="1"/>
        </w:numPr>
        <w:tabs>
          <w:tab w:pos="840" w:val="left" w:leader="none"/>
        </w:tabs>
        <w:spacing w:line="360" w:lineRule="auto" w:before="0" w:after="0"/>
        <w:ind w:left="839" w:right="1196" w:hanging="720"/>
        <w:jc w:val="both"/>
        <w:rPr>
          <w:sz w:val="20"/>
        </w:rPr>
      </w:pPr>
      <w:bookmarkStart w:name="6. KRN's largest shareholder is Gujarat " w:id="15"/>
      <w:bookmarkEnd w:id="15"/>
      <w:r>
        <w:rPr/>
      </w:r>
      <w:bookmarkStart w:name="6. KRN's largest shareholder is Gujarat " w:id="16"/>
      <w:bookmarkEnd w:id="16"/>
      <w:r>
        <w:rPr>
          <w:sz w:val="20"/>
        </w:rPr>
        <w:t>K</w:t>
      </w:r>
      <w:r>
        <w:rPr>
          <w:sz w:val="20"/>
        </w:rPr>
        <w:t>RN's largest shareholder is Gujarat State Fertilizers &amp; Chemicals Limited ("</w:t>
      </w:r>
      <w:r>
        <w:rPr>
          <w:b/>
          <w:sz w:val="20"/>
        </w:rPr>
        <w:t>GSFC</w:t>
      </w:r>
      <w:r>
        <w:rPr>
          <w:sz w:val="20"/>
        </w:rPr>
        <w:t>"), holding shares representing approximately 38.73% of KRN's issued and outstanding common shares. Attached</w:t>
      </w:r>
      <w:r>
        <w:rPr>
          <w:spacing w:val="-12"/>
          <w:sz w:val="20"/>
        </w:rPr>
        <w:t> </w:t>
      </w:r>
      <w:r>
        <w:rPr>
          <w:sz w:val="20"/>
        </w:rPr>
        <w:t>and</w:t>
      </w:r>
      <w:r>
        <w:rPr>
          <w:spacing w:val="-12"/>
          <w:sz w:val="20"/>
        </w:rPr>
        <w:t> </w:t>
      </w:r>
      <w:r>
        <w:rPr>
          <w:sz w:val="20"/>
        </w:rPr>
        <w:t>marked</w:t>
      </w:r>
      <w:r>
        <w:rPr>
          <w:spacing w:val="-11"/>
          <w:sz w:val="20"/>
        </w:rPr>
        <w:t> </w:t>
      </w:r>
      <w:r>
        <w:rPr>
          <w:sz w:val="20"/>
        </w:rPr>
        <w:t>as</w:t>
      </w:r>
      <w:r>
        <w:rPr>
          <w:spacing w:val="-12"/>
          <w:sz w:val="20"/>
        </w:rPr>
        <w:t> </w:t>
      </w:r>
      <w:r>
        <w:rPr>
          <w:b/>
          <w:sz w:val="20"/>
        </w:rPr>
        <w:t>Exhibit</w:t>
      </w:r>
      <w:r>
        <w:rPr>
          <w:b/>
          <w:spacing w:val="-11"/>
          <w:sz w:val="20"/>
        </w:rPr>
        <w:t> </w:t>
      </w:r>
      <w:r>
        <w:rPr>
          <w:b/>
          <w:sz w:val="20"/>
        </w:rPr>
        <w:t>“C”</w:t>
      </w:r>
      <w:r>
        <w:rPr>
          <w:b/>
          <w:spacing w:val="-12"/>
          <w:sz w:val="20"/>
        </w:rPr>
        <w:t> </w:t>
      </w:r>
      <w:r>
        <w:rPr>
          <w:sz w:val="20"/>
        </w:rPr>
        <w:t>to</w:t>
      </w:r>
      <w:r>
        <w:rPr>
          <w:spacing w:val="-11"/>
          <w:sz w:val="20"/>
        </w:rPr>
        <w:t> </w:t>
      </w:r>
      <w:r>
        <w:rPr>
          <w:sz w:val="20"/>
        </w:rPr>
        <w:t>the</w:t>
      </w:r>
      <w:r>
        <w:rPr>
          <w:spacing w:val="-12"/>
          <w:sz w:val="20"/>
        </w:rPr>
        <w:t> </w:t>
      </w:r>
      <w:r>
        <w:rPr>
          <w:sz w:val="20"/>
        </w:rPr>
        <w:t>FDW</w:t>
      </w:r>
      <w:r>
        <w:rPr>
          <w:spacing w:val="-11"/>
          <w:sz w:val="20"/>
        </w:rPr>
        <w:t> </w:t>
      </w:r>
      <w:r>
        <w:rPr>
          <w:sz w:val="20"/>
        </w:rPr>
        <w:t>Affidavit</w:t>
      </w:r>
      <w:r>
        <w:rPr>
          <w:spacing w:val="-13"/>
          <w:sz w:val="20"/>
        </w:rPr>
        <w:t> </w:t>
      </w:r>
      <w:r>
        <w:rPr>
          <w:sz w:val="20"/>
        </w:rPr>
        <w:t>is</w:t>
      </w:r>
      <w:r>
        <w:rPr>
          <w:spacing w:val="-11"/>
          <w:sz w:val="20"/>
        </w:rPr>
        <w:t> </w:t>
      </w:r>
      <w:r>
        <w:rPr>
          <w:sz w:val="20"/>
        </w:rPr>
        <w:t>a</w:t>
      </w:r>
      <w:r>
        <w:rPr>
          <w:spacing w:val="-12"/>
          <w:sz w:val="20"/>
        </w:rPr>
        <w:t> </w:t>
      </w:r>
      <w:r>
        <w:rPr>
          <w:sz w:val="20"/>
        </w:rPr>
        <w:t>copy</w:t>
      </w:r>
      <w:r>
        <w:rPr>
          <w:spacing w:val="-11"/>
          <w:sz w:val="20"/>
        </w:rPr>
        <w:t> </w:t>
      </w:r>
      <w:r>
        <w:rPr>
          <w:sz w:val="20"/>
        </w:rPr>
        <w:t>of</w:t>
      </w:r>
      <w:r>
        <w:rPr>
          <w:spacing w:val="-13"/>
          <w:sz w:val="20"/>
        </w:rPr>
        <w:t> </w:t>
      </w:r>
      <w:r>
        <w:rPr>
          <w:sz w:val="20"/>
        </w:rPr>
        <w:t>the</w:t>
      </w:r>
      <w:r>
        <w:rPr>
          <w:spacing w:val="-11"/>
          <w:sz w:val="20"/>
        </w:rPr>
        <w:t> </w:t>
      </w:r>
      <w:r>
        <w:rPr>
          <w:sz w:val="20"/>
        </w:rPr>
        <w:t>management</w:t>
      </w:r>
      <w:r>
        <w:rPr>
          <w:spacing w:val="-13"/>
          <w:sz w:val="20"/>
        </w:rPr>
        <w:t> </w:t>
      </w:r>
      <w:r>
        <w:rPr>
          <w:sz w:val="20"/>
        </w:rPr>
        <w:t>information circular (the “</w:t>
      </w:r>
      <w:r>
        <w:rPr>
          <w:b/>
          <w:sz w:val="20"/>
        </w:rPr>
        <w:t>KRN Circular</w:t>
      </w:r>
      <w:r>
        <w:rPr>
          <w:sz w:val="20"/>
        </w:rPr>
        <w:t>”) dated November 15, 2020 of Karnalyte confirming the ownership of GSFC.</w:t>
      </w:r>
    </w:p>
    <w:p>
      <w:pPr>
        <w:pStyle w:val="BodyText"/>
        <w:spacing w:before="10"/>
      </w:pPr>
    </w:p>
    <w:p>
      <w:pPr>
        <w:pStyle w:val="ListParagraph"/>
        <w:numPr>
          <w:ilvl w:val="0"/>
          <w:numId w:val="1"/>
        </w:numPr>
        <w:tabs>
          <w:tab w:pos="840" w:val="left" w:leader="none"/>
        </w:tabs>
        <w:spacing w:line="360" w:lineRule="auto" w:before="0" w:after="0"/>
        <w:ind w:left="839" w:right="1198" w:hanging="720"/>
        <w:jc w:val="both"/>
        <w:rPr>
          <w:sz w:val="20"/>
        </w:rPr>
      </w:pPr>
      <w:bookmarkStart w:name="7. Gujarat State Investments Limited, th" w:id="17"/>
      <w:bookmarkEnd w:id="17"/>
      <w:r>
        <w:rPr/>
      </w:r>
      <w:bookmarkStart w:name="7. Gujarat State Investments Limited, th" w:id="18"/>
      <w:bookmarkEnd w:id="18"/>
      <w:r>
        <w:rPr>
          <w:sz w:val="20"/>
        </w:rPr>
        <w:t>G</w:t>
      </w:r>
      <w:r>
        <w:rPr>
          <w:sz w:val="20"/>
        </w:rPr>
        <w:t>ujarat State Investments Limited, the investment arm of the Gujarat Government, India (the “</w:t>
      </w:r>
      <w:r>
        <w:rPr>
          <w:b/>
          <w:sz w:val="20"/>
        </w:rPr>
        <w:t>Gujarat</w:t>
      </w:r>
      <w:r>
        <w:rPr>
          <w:b/>
          <w:spacing w:val="-13"/>
          <w:sz w:val="20"/>
        </w:rPr>
        <w:t> </w:t>
      </w:r>
      <w:r>
        <w:rPr>
          <w:b/>
          <w:sz w:val="20"/>
        </w:rPr>
        <w:t>Government</w:t>
      </w:r>
      <w:r>
        <w:rPr>
          <w:sz w:val="20"/>
        </w:rPr>
        <w:t>”),</w:t>
      </w:r>
      <w:r>
        <w:rPr>
          <w:spacing w:val="-14"/>
          <w:sz w:val="20"/>
        </w:rPr>
        <w:t> </w:t>
      </w:r>
      <w:r>
        <w:rPr>
          <w:sz w:val="20"/>
        </w:rPr>
        <w:t>owns</w:t>
      </w:r>
      <w:r>
        <w:rPr>
          <w:spacing w:val="-13"/>
          <w:sz w:val="20"/>
        </w:rPr>
        <w:t> </w:t>
      </w:r>
      <w:r>
        <w:rPr>
          <w:sz w:val="20"/>
        </w:rPr>
        <w:t>37.84%</w:t>
      </w:r>
      <w:r>
        <w:rPr>
          <w:spacing w:val="-13"/>
          <w:sz w:val="20"/>
        </w:rPr>
        <w:t> </w:t>
      </w:r>
      <w:r>
        <w:rPr>
          <w:sz w:val="20"/>
        </w:rPr>
        <w:t>of</w:t>
      </w:r>
      <w:r>
        <w:rPr>
          <w:spacing w:val="-14"/>
          <w:sz w:val="20"/>
        </w:rPr>
        <w:t> </w:t>
      </w:r>
      <w:r>
        <w:rPr>
          <w:sz w:val="20"/>
        </w:rPr>
        <w:t>GSFC.</w:t>
      </w:r>
      <w:r>
        <w:rPr>
          <w:spacing w:val="28"/>
          <w:sz w:val="20"/>
        </w:rPr>
        <w:t> </w:t>
      </w:r>
      <w:r>
        <w:rPr>
          <w:sz w:val="20"/>
        </w:rPr>
        <w:t>Attached</w:t>
      </w:r>
      <w:r>
        <w:rPr>
          <w:spacing w:val="-13"/>
          <w:sz w:val="20"/>
        </w:rPr>
        <w:t> </w:t>
      </w:r>
      <w:r>
        <w:rPr>
          <w:sz w:val="20"/>
        </w:rPr>
        <w:t>and</w:t>
      </w:r>
      <w:r>
        <w:rPr>
          <w:spacing w:val="-12"/>
          <w:sz w:val="20"/>
        </w:rPr>
        <w:t> </w:t>
      </w:r>
      <w:r>
        <w:rPr>
          <w:sz w:val="20"/>
        </w:rPr>
        <w:t>marked</w:t>
      </w:r>
      <w:r>
        <w:rPr>
          <w:spacing w:val="-13"/>
          <w:sz w:val="20"/>
        </w:rPr>
        <w:t> </w:t>
      </w:r>
      <w:r>
        <w:rPr>
          <w:sz w:val="20"/>
        </w:rPr>
        <w:t>as</w:t>
      </w:r>
      <w:r>
        <w:rPr>
          <w:spacing w:val="-13"/>
          <w:sz w:val="20"/>
        </w:rPr>
        <w:t> </w:t>
      </w:r>
      <w:r>
        <w:rPr>
          <w:b/>
          <w:sz w:val="20"/>
        </w:rPr>
        <w:t>Exhibit</w:t>
      </w:r>
      <w:r>
        <w:rPr>
          <w:b/>
          <w:spacing w:val="-13"/>
          <w:sz w:val="20"/>
        </w:rPr>
        <w:t> </w:t>
      </w:r>
      <w:r>
        <w:rPr>
          <w:b/>
          <w:sz w:val="20"/>
        </w:rPr>
        <w:t>“D”</w:t>
      </w:r>
      <w:r>
        <w:rPr>
          <w:b/>
          <w:spacing w:val="-12"/>
          <w:sz w:val="20"/>
        </w:rPr>
        <w:t> </w:t>
      </w:r>
      <w:r>
        <w:rPr>
          <w:sz w:val="20"/>
        </w:rPr>
        <w:t>to</w:t>
      </w:r>
      <w:r>
        <w:rPr>
          <w:spacing w:val="-13"/>
          <w:sz w:val="20"/>
        </w:rPr>
        <w:t> </w:t>
      </w:r>
      <w:r>
        <w:rPr>
          <w:sz w:val="20"/>
        </w:rPr>
        <w:t>the</w:t>
      </w:r>
      <w:r>
        <w:rPr>
          <w:spacing w:val="-15"/>
          <w:sz w:val="20"/>
        </w:rPr>
        <w:t> </w:t>
      </w:r>
      <w:r>
        <w:rPr>
          <w:sz w:val="20"/>
        </w:rPr>
        <w:t>FDW Affidavit is a copy of the statement confirming ownership of</w:t>
      </w:r>
      <w:r>
        <w:rPr>
          <w:spacing w:val="-12"/>
          <w:sz w:val="20"/>
        </w:rPr>
        <w:t> </w:t>
      </w:r>
      <w:r>
        <w:rPr>
          <w:sz w:val="20"/>
        </w:rPr>
        <w:t>GSFC.</w:t>
      </w:r>
    </w:p>
    <w:p>
      <w:pPr>
        <w:pStyle w:val="BodyText"/>
        <w:spacing w:before="11"/>
      </w:pPr>
    </w:p>
    <w:p>
      <w:pPr>
        <w:pStyle w:val="ListParagraph"/>
        <w:numPr>
          <w:ilvl w:val="0"/>
          <w:numId w:val="1"/>
        </w:numPr>
        <w:tabs>
          <w:tab w:pos="839" w:val="left" w:leader="none"/>
        </w:tabs>
        <w:spacing w:line="360" w:lineRule="auto" w:before="0" w:after="0"/>
        <w:ind w:left="838" w:right="1200" w:hanging="720"/>
        <w:jc w:val="both"/>
        <w:rPr>
          <w:sz w:val="20"/>
        </w:rPr>
      </w:pPr>
      <w:bookmarkStart w:name="8. I am advised by Varma and Favreau, an" w:id="19"/>
      <w:bookmarkEnd w:id="19"/>
      <w:r>
        <w:rPr/>
      </w:r>
      <w:bookmarkStart w:name="8. I am advised by Varma and Favreau, an" w:id="20"/>
      <w:bookmarkEnd w:id="20"/>
      <w:r>
        <w:rPr>
          <w:sz w:val="20"/>
        </w:rPr>
        <w:t>I</w:t>
      </w:r>
      <w:r>
        <w:rPr>
          <w:spacing w:val="-6"/>
          <w:sz w:val="20"/>
        </w:rPr>
        <w:t> </w:t>
      </w:r>
      <w:r>
        <w:rPr>
          <w:sz w:val="20"/>
        </w:rPr>
        <w:t>am</w:t>
      </w:r>
      <w:r>
        <w:rPr>
          <w:spacing w:val="-4"/>
          <w:sz w:val="20"/>
        </w:rPr>
        <w:t> </w:t>
      </w:r>
      <w:r>
        <w:rPr>
          <w:sz w:val="20"/>
        </w:rPr>
        <w:t>advised</w:t>
      </w:r>
      <w:r>
        <w:rPr>
          <w:spacing w:val="-4"/>
          <w:sz w:val="20"/>
        </w:rPr>
        <w:t> </w:t>
      </w:r>
      <w:r>
        <w:rPr>
          <w:sz w:val="20"/>
        </w:rPr>
        <w:t>by</w:t>
      </w:r>
      <w:r>
        <w:rPr>
          <w:spacing w:val="-4"/>
          <w:sz w:val="20"/>
        </w:rPr>
        <w:t> </w:t>
      </w:r>
      <w:r>
        <w:rPr>
          <w:sz w:val="20"/>
        </w:rPr>
        <w:t>Varma</w:t>
      </w:r>
      <w:r>
        <w:rPr>
          <w:spacing w:val="-5"/>
          <w:sz w:val="20"/>
        </w:rPr>
        <w:t> </w:t>
      </w:r>
      <w:r>
        <w:rPr>
          <w:sz w:val="20"/>
        </w:rPr>
        <w:t>and</w:t>
      </w:r>
      <w:r>
        <w:rPr>
          <w:spacing w:val="-4"/>
          <w:sz w:val="20"/>
        </w:rPr>
        <w:t> </w:t>
      </w:r>
      <w:r>
        <w:rPr>
          <w:sz w:val="20"/>
        </w:rPr>
        <w:t>Favreau,</w:t>
      </w:r>
      <w:r>
        <w:rPr>
          <w:spacing w:val="-5"/>
          <w:sz w:val="20"/>
        </w:rPr>
        <w:t> </w:t>
      </w:r>
      <w:r>
        <w:rPr>
          <w:sz w:val="20"/>
        </w:rPr>
        <w:t>and</w:t>
      </w:r>
      <w:r>
        <w:rPr>
          <w:spacing w:val="-4"/>
          <w:sz w:val="20"/>
        </w:rPr>
        <w:t> </w:t>
      </w:r>
      <w:r>
        <w:rPr>
          <w:sz w:val="20"/>
        </w:rPr>
        <w:t>verily</w:t>
      </w:r>
      <w:r>
        <w:rPr>
          <w:spacing w:val="-5"/>
          <w:sz w:val="20"/>
        </w:rPr>
        <w:t> </w:t>
      </w:r>
      <w:r>
        <w:rPr>
          <w:sz w:val="20"/>
        </w:rPr>
        <w:t>believe,</w:t>
      </w:r>
      <w:r>
        <w:rPr>
          <w:spacing w:val="-5"/>
          <w:sz w:val="20"/>
        </w:rPr>
        <w:t> </w:t>
      </w:r>
      <w:r>
        <w:rPr>
          <w:sz w:val="20"/>
        </w:rPr>
        <w:t>that</w:t>
      </w:r>
      <w:r>
        <w:rPr>
          <w:spacing w:val="-5"/>
          <w:sz w:val="20"/>
        </w:rPr>
        <w:t> </w:t>
      </w:r>
      <w:r>
        <w:rPr>
          <w:sz w:val="20"/>
        </w:rPr>
        <w:t>the</w:t>
      </w:r>
      <w:r>
        <w:rPr>
          <w:spacing w:val="-4"/>
          <w:sz w:val="20"/>
        </w:rPr>
        <w:t> </w:t>
      </w:r>
      <w:r>
        <w:rPr>
          <w:sz w:val="20"/>
        </w:rPr>
        <w:t>Gujarat</w:t>
      </w:r>
      <w:r>
        <w:rPr>
          <w:spacing w:val="-5"/>
          <w:sz w:val="20"/>
        </w:rPr>
        <w:t> </w:t>
      </w:r>
      <w:r>
        <w:rPr>
          <w:sz w:val="20"/>
        </w:rPr>
        <w:t>Government</w:t>
      </w:r>
      <w:r>
        <w:rPr>
          <w:spacing w:val="-6"/>
          <w:sz w:val="20"/>
        </w:rPr>
        <w:t> </w:t>
      </w:r>
      <w:r>
        <w:rPr>
          <w:sz w:val="20"/>
        </w:rPr>
        <w:t>appoints</w:t>
      </w:r>
      <w:r>
        <w:rPr>
          <w:spacing w:val="-4"/>
          <w:sz w:val="20"/>
        </w:rPr>
        <w:t> </w:t>
      </w:r>
      <w:r>
        <w:rPr>
          <w:sz w:val="20"/>
        </w:rPr>
        <w:t>the managing director (the “</w:t>
      </w:r>
      <w:r>
        <w:rPr>
          <w:b/>
          <w:sz w:val="20"/>
        </w:rPr>
        <w:t>GSFC MD</w:t>
      </w:r>
      <w:r>
        <w:rPr>
          <w:sz w:val="20"/>
        </w:rPr>
        <w:t>”) of GSFC, typically for a two (2) year</w:t>
      </w:r>
      <w:r>
        <w:rPr>
          <w:spacing w:val="-16"/>
          <w:sz w:val="20"/>
        </w:rPr>
        <w:t> </w:t>
      </w:r>
      <w:r>
        <w:rPr>
          <w:sz w:val="20"/>
        </w:rPr>
        <w:t>term.</w:t>
      </w:r>
    </w:p>
    <w:p>
      <w:pPr>
        <w:pStyle w:val="BodyText"/>
        <w:spacing w:before="9"/>
      </w:pPr>
    </w:p>
    <w:p>
      <w:pPr>
        <w:pStyle w:val="ListParagraph"/>
        <w:numPr>
          <w:ilvl w:val="0"/>
          <w:numId w:val="1"/>
        </w:numPr>
        <w:tabs>
          <w:tab w:pos="840" w:val="left" w:leader="none"/>
        </w:tabs>
        <w:spacing w:line="360" w:lineRule="auto" w:before="0" w:after="0"/>
        <w:ind w:left="839" w:right="1196" w:hanging="720"/>
        <w:jc w:val="both"/>
        <w:rPr>
          <w:sz w:val="20"/>
        </w:rPr>
      </w:pPr>
      <w:bookmarkStart w:name="9. I was first elected as a director of " w:id="21"/>
      <w:bookmarkEnd w:id="21"/>
      <w:r>
        <w:rPr/>
      </w:r>
      <w:bookmarkStart w:name="9. I was first elected as a director of " w:id="22"/>
      <w:bookmarkEnd w:id="22"/>
      <w:r>
        <w:rPr>
          <w:sz w:val="20"/>
        </w:rPr>
        <w:t>I</w:t>
      </w:r>
      <w:r>
        <w:rPr>
          <w:sz w:val="20"/>
        </w:rPr>
        <w:t> was first elected as a director of KRN at its annual general meeting (the “</w:t>
      </w:r>
      <w:r>
        <w:rPr>
          <w:b/>
          <w:sz w:val="20"/>
        </w:rPr>
        <w:t>2017 AGM</w:t>
      </w:r>
      <w:r>
        <w:rPr>
          <w:sz w:val="20"/>
        </w:rPr>
        <w:t>”) of shareholders</w:t>
      </w:r>
      <w:r>
        <w:rPr>
          <w:spacing w:val="-4"/>
          <w:sz w:val="20"/>
        </w:rPr>
        <w:t> </w:t>
      </w:r>
      <w:r>
        <w:rPr>
          <w:sz w:val="20"/>
        </w:rPr>
        <w:t>on</w:t>
      </w:r>
      <w:r>
        <w:rPr>
          <w:spacing w:val="-3"/>
          <w:sz w:val="20"/>
        </w:rPr>
        <w:t> </w:t>
      </w:r>
      <w:r>
        <w:rPr>
          <w:sz w:val="20"/>
        </w:rPr>
        <w:t>May</w:t>
      </w:r>
      <w:r>
        <w:rPr>
          <w:spacing w:val="-2"/>
          <w:sz w:val="20"/>
        </w:rPr>
        <w:t> </w:t>
      </w:r>
      <w:r>
        <w:rPr>
          <w:sz w:val="20"/>
        </w:rPr>
        <w:t>5,</w:t>
      </w:r>
      <w:r>
        <w:rPr>
          <w:spacing w:val="-3"/>
          <w:sz w:val="20"/>
        </w:rPr>
        <w:t> </w:t>
      </w:r>
      <w:r>
        <w:rPr>
          <w:sz w:val="20"/>
        </w:rPr>
        <w:t>2017,</w:t>
      </w:r>
      <w:r>
        <w:rPr>
          <w:spacing w:val="-4"/>
          <w:sz w:val="20"/>
        </w:rPr>
        <w:t> </w:t>
      </w:r>
      <w:r>
        <w:rPr>
          <w:sz w:val="20"/>
        </w:rPr>
        <w:t>and</w:t>
      </w:r>
      <w:r>
        <w:rPr>
          <w:spacing w:val="-3"/>
          <w:sz w:val="20"/>
        </w:rPr>
        <w:t> </w:t>
      </w:r>
      <w:r>
        <w:rPr>
          <w:sz w:val="20"/>
        </w:rPr>
        <w:t>then</w:t>
      </w:r>
      <w:r>
        <w:rPr>
          <w:spacing w:val="-1"/>
          <w:sz w:val="20"/>
        </w:rPr>
        <w:t> </w:t>
      </w:r>
      <w:r>
        <w:rPr>
          <w:sz w:val="20"/>
        </w:rPr>
        <w:t>subsequently</w:t>
      </w:r>
      <w:r>
        <w:rPr>
          <w:spacing w:val="-4"/>
          <w:sz w:val="20"/>
        </w:rPr>
        <w:t> </w:t>
      </w:r>
      <w:r>
        <w:rPr>
          <w:sz w:val="20"/>
        </w:rPr>
        <w:t>re-elected</w:t>
      </w:r>
      <w:r>
        <w:rPr>
          <w:spacing w:val="-3"/>
          <w:sz w:val="20"/>
        </w:rPr>
        <w:t> </w:t>
      </w:r>
      <w:r>
        <w:rPr>
          <w:sz w:val="20"/>
        </w:rPr>
        <w:t>as</w:t>
      </w:r>
      <w:r>
        <w:rPr>
          <w:spacing w:val="-4"/>
          <w:sz w:val="20"/>
        </w:rPr>
        <w:t> </w:t>
      </w:r>
      <w:r>
        <w:rPr>
          <w:sz w:val="20"/>
        </w:rPr>
        <w:t>a</w:t>
      </w:r>
      <w:r>
        <w:rPr>
          <w:spacing w:val="-2"/>
          <w:sz w:val="20"/>
        </w:rPr>
        <w:t> </w:t>
      </w:r>
      <w:r>
        <w:rPr>
          <w:sz w:val="20"/>
        </w:rPr>
        <w:t>director</w:t>
      </w:r>
      <w:r>
        <w:rPr>
          <w:spacing w:val="-3"/>
          <w:sz w:val="20"/>
        </w:rPr>
        <w:t> </w:t>
      </w:r>
      <w:r>
        <w:rPr>
          <w:sz w:val="20"/>
        </w:rPr>
        <w:t>of</w:t>
      </w:r>
      <w:r>
        <w:rPr>
          <w:spacing w:val="-3"/>
          <w:sz w:val="20"/>
        </w:rPr>
        <w:t> </w:t>
      </w:r>
      <w:r>
        <w:rPr>
          <w:sz w:val="20"/>
        </w:rPr>
        <w:t>KRN</w:t>
      </w:r>
      <w:r>
        <w:rPr>
          <w:spacing w:val="-2"/>
          <w:sz w:val="20"/>
        </w:rPr>
        <w:t> </w:t>
      </w:r>
      <w:r>
        <w:rPr>
          <w:sz w:val="20"/>
        </w:rPr>
        <w:t>at</w:t>
      </w:r>
      <w:r>
        <w:rPr>
          <w:spacing w:val="-4"/>
          <w:sz w:val="20"/>
        </w:rPr>
        <w:t> </w:t>
      </w:r>
      <w:r>
        <w:rPr>
          <w:sz w:val="20"/>
        </w:rPr>
        <w:t>its</w:t>
      </w:r>
      <w:r>
        <w:rPr>
          <w:spacing w:val="-3"/>
          <w:sz w:val="20"/>
        </w:rPr>
        <w:t> </w:t>
      </w:r>
      <w:r>
        <w:rPr>
          <w:sz w:val="20"/>
        </w:rPr>
        <w:t>annual general meeting of shareholders (the “</w:t>
      </w:r>
      <w:r>
        <w:rPr>
          <w:b/>
          <w:sz w:val="20"/>
        </w:rPr>
        <w:t>2018 AGM</w:t>
      </w:r>
      <w:r>
        <w:rPr>
          <w:sz w:val="20"/>
        </w:rPr>
        <w:t>”) on June 7, 2018. I had never been a director of a Canadian publicly listed company before becoming a director of KRN. Attached and marked as</w:t>
      </w:r>
      <w:r>
        <w:rPr>
          <w:spacing w:val="-8"/>
          <w:sz w:val="20"/>
        </w:rPr>
        <w:t> </w:t>
      </w:r>
      <w:r>
        <w:rPr>
          <w:b/>
          <w:sz w:val="20"/>
        </w:rPr>
        <w:t>Exhibit</w:t>
      </w:r>
      <w:r>
        <w:rPr>
          <w:b/>
          <w:spacing w:val="-7"/>
          <w:sz w:val="20"/>
        </w:rPr>
        <w:t> </w:t>
      </w:r>
      <w:r>
        <w:rPr>
          <w:b/>
          <w:sz w:val="20"/>
        </w:rPr>
        <w:t>“E”</w:t>
      </w:r>
      <w:r>
        <w:rPr>
          <w:b/>
          <w:spacing w:val="-7"/>
          <w:sz w:val="20"/>
        </w:rPr>
        <w:t> </w:t>
      </w:r>
      <w:r>
        <w:rPr>
          <w:sz w:val="20"/>
        </w:rPr>
        <w:t>to</w:t>
      </w:r>
      <w:r>
        <w:rPr>
          <w:spacing w:val="-8"/>
          <w:sz w:val="20"/>
        </w:rPr>
        <w:t> </w:t>
      </w:r>
      <w:r>
        <w:rPr>
          <w:sz w:val="20"/>
        </w:rPr>
        <w:t>the</w:t>
      </w:r>
      <w:r>
        <w:rPr>
          <w:spacing w:val="-10"/>
          <w:sz w:val="20"/>
        </w:rPr>
        <w:t> </w:t>
      </w:r>
      <w:r>
        <w:rPr>
          <w:sz w:val="20"/>
        </w:rPr>
        <w:t>FDW</w:t>
      </w:r>
      <w:r>
        <w:rPr>
          <w:spacing w:val="-9"/>
          <w:sz w:val="20"/>
        </w:rPr>
        <w:t> </w:t>
      </w:r>
      <w:r>
        <w:rPr>
          <w:sz w:val="20"/>
        </w:rPr>
        <w:t>Affidavit</w:t>
      </w:r>
      <w:r>
        <w:rPr>
          <w:spacing w:val="-8"/>
          <w:sz w:val="20"/>
        </w:rPr>
        <w:t> </w:t>
      </w:r>
      <w:r>
        <w:rPr>
          <w:sz w:val="20"/>
        </w:rPr>
        <w:t>is</w:t>
      </w:r>
      <w:r>
        <w:rPr>
          <w:spacing w:val="-7"/>
          <w:sz w:val="20"/>
        </w:rPr>
        <w:t> </w:t>
      </w:r>
      <w:r>
        <w:rPr>
          <w:sz w:val="20"/>
        </w:rPr>
        <w:t>a</w:t>
      </w:r>
      <w:r>
        <w:rPr>
          <w:spacing w:val="-9"/>
          <w:sz w:val="20"/>
        </w:rPr>
        <w:t> </w:t>
      </w:r>
      <w:r>
        <w:rPr>
          <w:sz w:val="20"/>
        </w:rPr>
        <w:t>copy</w:t>
      </w:r>
      <w:r>
        <w:rPr>
          <w:spacing w:val="-9"/>
          <w:sz w:val="20"/>
        </w:rPr>
        <w:t> </w:t>
      </w:r>
      <w:r>
        <w:rPr>
          <w:sz w:val="20"/>
        </w:rPr>
        <w:t>of</w:t>
      </w:r>
      <w:r>
        <w:rPr>
          <w:spacing w:val="-8"/>
          <w:sz w:val="20"/>
        </w:rPr>
        <w:t> </w:t>
      </w:r>
      <w:r>
        <w:rPr>
          <w:sz w:val="20"/>
        </w:rPr>
        <w:t>the</w:t>
      </w:r>
      <w:r>
        <w:rPr>
          <w:spacing w:val="-9"/>
          <w:sz w:val="20"/>
        </w:rPr>
        <w:t> </w:t>
      </w:r>
      <w:r>
        <w:rPr>
          <w:sz w:val="20"/>
        </w:rPr>
        <w:t>voting</w:t>
      </w:r>
      <w:r>
        <w:rPr>
          <w:spacing w:val="-8"/>
          <w:sz w:val="20"/>
        </w:rPr>
        <w:t> </w:t>
      </w:r>
      <w:r>
        <w:rPr>
          <w:sz w:val="20"/>
        </w:rPr>
        <w:t>results</w:t>
      </w:r>
      <w:r>
        <w:rPr>
          <w:spacing w:val="-7"/>
          <w:sz w:val="20"/>
        </w:rPr>
        <w:t> </w:t>
      </w:r>
      <w:r>
        <w:rPr>
          <w:sz w:val="20"/>
        </w:rPr>
        <w:t>for</w:t>
      </w:r>
      <w:r>
        <w:rPr>
          <w:spacing w:val="-10"/>
          <w:sz w:val="20"/>
        </w:rPr>
        <w:t> </w:t>
      </w:r>
      <w:r>
        <w:rPr>
          <w:sz w:val="20"/>
        </w:rPr>
        <w:t>the</w:t>
      </w:r>
      <w:r>
        <w:rPr>
          <w:spacing w:val="-8"/>
          <w:sz w:val="20"/>
        </w:rPr>
        <w:t> </w:t>
      </w:r>
      <w:r>
        <w:rPr>
          <w:sz w:val="20"/>
        </w:rPr>
        <w:t>2017</w:t>
      </w:r>
      <w:r>
        <w:rPr>
          <w:spacing w:val="-8"/>
          <w:sz w:val="20"/>
        </w:rPr>
        <w:t> </w:t>
      </w:r>
      <w:r>
        <w:rPr>
          <w:sz w:val="20"/>
        </w:rPr>
        <w:t>AGM.</w:t>
      </w:r>
      <w:r>
        <w:rPr>
          <w:spacing w:val="39"/>
          <w:sz w:val="20"/>
        </w:rPr>
        <w:t> </w:t>
      </w:r>
      <w:r>
        <w:rPr>
          <w:sz w:val="20"/>
        </w:rPr>
        <w:t>Attached</w:t>
      </w:r>
      <w:r>
        <w:rPr>
          <w:spacing w:val="-9"/>
          <w:sz w:val="20"/>
        </w:rPr>
        <w:t> </w:t>
      </w:r>
      <w:r>
        <w:rPr>
          <w:sz w:val="20"/>
        </w:rPr>
        <w:t>and marked as </w:t>
      </w:r>
      <w:r>
        <w:rPr>
          <w:b/>
          <w:sz w:val="20"/>
        </w:rPr>
        <w:t>Exhibit “F” </w:t>
      </w:r>
      <w:r>
        <w:rPr>
          <w:sz w:val="20"/>
        </w:rPr>
        <w:t>to the FDW Affidavit is a copy of of the voting results for the 2018</w:t>
      </w:r>
      <w:r>
        <w:rPr>
          <w:spacing w:val="-34"/>
          <w:sz w:val="20"/>
        </w:rPr>
        <w:t> </w:t>
      </w:r>
      <w:r>
        <w:rPr>
          <w:sz w:val="20"/>
        </w:rPr>
        <w:t>AGM.</w:t>
      </w:r>
    </w:p>
    <w:p>
      <w:pPr>
        <w:pStyle w:val="BodyText"/>
        <w:spacing w:before="9"/>
      </w:pPr>
    </w:p>
    <w:p>
      <w:pPr>
        <w:pStyle w:val="ListParagraph"/>
        <w:numPr>
          <w:ilvl w:val="0"/>
          <w:numId w:val="1"/>
        </w:numPr>
        <w:tabs>
          <w:tab w:pos="840" w:val="left" w:leader="none"/>
        </w:tabs>
        <w:spacing w:line="360" w:lineRule="auto" w:before="0" w:after="0"/>
        <w:ind w:left="839" w:right="1199" w:hanging="720"/>
        <w:jc w:val="both"/>
        <w:rPr>
          <w:sz w:val="20"/>
        </w:rPr>
      </w:pPr>
      <w:bookmarkStart w:name="10. I resigned as a director on January " w:id="23"/>
      <w:bookmarkEnd w:id="23"/>
      <w:r>
        <w:rPr/>
      </w:r>
      <w:bookmarkStart w:name="10. I resigned as a director on January " w:id="24"/>
      <w:bookmarkEnd w:id="24"/>
      <w:r>
        <w:rPr>
          <w:sz w:val="20"/>
        </w:rPr>
        <w:t>I</w:t>
      </w:r>
      <w:r>
        <w:rPr>
          <w:sz w:val="20"/>
        </w:rPr>
        <w:t> resigned as a director on January 16, 2019. Attached and marked as </w:t>
      </w:r>
      <w:r>
        <w:rPr>
          <w:b/>
          <w:sz w:val="20"/>
        </w:rPr>
        <w:t>Exhibit “G” </w:t>
      </w:r>
      <w:r>
        <w:rPr>
          <w:sz w:val="20"/>
        </w:rPr>
        <w:t>to the FDW Affidavit is a copy of the press release of Karnalyte dated January 16,</w:t>
      </w:r>
      <w:r>
        <w:rPr>
          <w:spacing w:val="-16"/>
          <w:sz w:val="20"/>
        </w:rPr>
        <w:t> </w:t>
      </w:r>
      <w:r>
        <w:rPr>
          <w:sz w:val="20"/>
        </w:rPr>
        <w:t>2019.</w:t>
      </w:r>
    </w:p>
    <w:p>
      <w:pPr>
        <w:spacing w:after="0" w:line="360" w:lineRule="auto"/>
        <w:jc w:val="both"/>
        <w:rPr>
          <w:sz w:val="20"/>
        </w:rPr>
        <w:sectPr>
          <w:pgSz w:w="12240" w:h="15840"/>
          <w:pgMar w:header="0" w:footer="971" w:top="1220" w:bottom="1180" w:left="1320" w:right="240"/>
        </w:sectPr>
      </w:pPr>
    </w:p>
    <w:p>
      <w:pPr>
        <w:pStyle w:val="Heading1"/>
        <w:spacing w:before="75"/>
        <w:ind w:left="120" w:firstLine="0"/>
        <w:rPr>
          <w:u w:val="none"/>
        </w:rPr>
      </w:pPr>
      <w:bookmarkStart w:name="Director Education" w:id="25"/>
      <w:bookmarkEnd w:id="25"/>
      <w:r>
        <w:rPr>
          <w:b w:val="0"/>
          <w:u w:val="none"/>
        </w:rPr>
      </w:r>
      <w:r>
        <w:rPr>
          <w:u w:val="none"/>
        </w:rPr>
        <w:t>Director Education</w:t>
      </w:r>
    </w:p>
    <w:p>
      <w:pPr>
        <w:pStyle w:val="BodyText"/>
        <w:rPr>
          <w:b/>
          <w:sz w:val="22"/>
        </w:rPr>
      </w:pPr>
    </w:p>
    <w:p>
      <w:pPr>
        <w:pStyle w:val="ListParagraph"/>
        <w:numPr>
          <w:ilvl w:val="0"/>
          <w:numId w:val="1"/>
        </w:numPr>
        <w:tabs>
          <w:tab w:pos="841" w:val="left" w:leader="none"/>
        </w:tabs>
        <w:spacing w:line="360" w:lineRule="auto" w:before="138" w:after="0"/>
        <w:ind w:left="839" w:right="1195" w:hanging="720"/>
        <w:jc w:val="both"/>
        <w:rPr>
          <w:sz w:val="20"/>
        </w:rPr>
      </w:pPr>
      <w:bookmarkStart w:name="11. After the 2017 AGM, when I joined th" w:id="26"/>
      <w:bookmarkEnd w:id="26"/>
      <w:r>
        <w:rPr/>
      </w:r>
      <w:bookmarkStart w:name="11. After the 2017 AGM, when I joined th" w:id="27"/>
      <w:bookmarkEnd w:id="27"/>
      <w:r>
        <w:rPr>
          <w:sz w:val="20"/>
        </w:rPr>
        <w:t>A</w:t>
      </w:r>
      <w:r>
        <w:rPr>
          <w:sz w:val="20"/>
        </w:rPr>
        <w:t>fter the 2017 AGM, when I joined the board of directors of KRN (the “</w:t>
      </w:r>
      <w:r>
        <w:rPr>
          <w:b/>
          <w:sz w:val="20"/>
        </w:rPr>
        <w:t>KRN Board</w:t>
      </w:r>
      <w:r>
        <w:rPr>
          <w:sz w:val="20"/>
        </w:rPr>
        <w:t>”), I attended a seminar</w:t>
      </w:r>
      <w:r>
        <w:rPr>
          <w:spacing w:val="-13"/>
          <w:sz w:val="20"/>
        </w:rPr>
        <w:t> </w:t>
      </w:r>
      <w:r>
        <w:rPr>
          <w:sz w:val="20"/>
        </w:rPr>
        <w:t>(the</w:t>
      </w:r>
      <w:r>
        <w:rPr>
          <w:spacing w:val="-13"/>
          <w:sz w:val="20"/>
        </w:rPr>
        <w:t> </w:t>
      </w:r>
      <w:r>
        <w:rPr>
          <w:sz w:val="20"/>
        </w:rPr>
        <w:t>“</w:t>
      </w:r>
      <w:r>
        <w:rPr>
          <w:b/>
          <w:sz w:val="20"/>
        </w:rPr>
        <w:t>MLT</w:t>
      </w:r>
      <w:r>
        <w:rPr>
          <w:b/>
          <w:spacing w:val="-11"/>
          <w:sz w:val="20"/>
        </w:rPr>
        <w:t> </w:t>
      </w:r>
      <w:r>
        <w:rPr>
          <w:b/>
          <w:sz w:val="20"/>
        </w:rPr>
        <w:t>Seminar</w:t>
      </w:r>
      <w:r>
        <w:rPr>
          <w:sz w:val="20"/>
        </w:rPr>
        <w:t>”)</w:t>
      </w:r>
      <w:r>
        <w:rPr>
          <w:spacing w:val="-13"/>
          <w:sz w:val="20"/>
        </w:rPr>
        <w:t> </w:t>
      </w:r>
      <w:r>
        <w:rPr>
          <w:sz w:val="20"/>
        </w:rPr>
        <w:t>presented</w:t>
      </w:r>
      <w:r>
        <w:rPr>
          <w:spacing w:val="-12"/>
          <w:sz w:val="20"/>
        </w:rPr>
        <w:t> </w:t>
      </w:r>
      <w:r>
        <w:rPr>
          <w:sz w:val="20"/>
        </w:rPr>
        <w:t>by</w:t>
      </w:r>
      <w:r>
        <w:rPr>
          <w:spacing w:val="-12"/>
          <w:sz w:val="20"/>
        </w:rPr>
        <w:t> </w:t>
      </w:r>
      <w:r>
        <w:rPr>
          <w:sz w:val="20"/>
        </w:rPr>
        <w:t>MLT</w:t>
      </w:r>
      <w:r>
        <w:rPr>
          <w:spacing w:val="-13"/>
          <w:sz w:val="20"/>
        </w:rPr>
        <w:t> </w:t>
      </w:r>
      <w:r>
        <w:rPr>
          <w:sz w:val="20"/>
        </w:rPr>
        <w:t>Aikins,</w:t>
      </w:r>
      <w:r>
        <w:rPr>
          <w:spacing w:val="-13"/>
          <w:sz w:val="20"/>
        </w:rPr>
        <w:t> </w:t>
      </w:r>
      <w:r>
        <w:rPr>
          <w:sz w:val="20"/>
        </w:rPr>
        <w:t>corporate</w:t>
      </w:r>
      <w:r>
        <w:rPr>
          <w:spacing w:val="-12"/>
          <w:sz w:val="20"/>
        </w:rPr>
        <w:t> </w:t>
      </w:r>
      <w:r>
        <w:rPr>
          <w:sz w:val="20"/>
        </w:rPr>
        <w:t>counsel</w:t>
      </w:r>
      <w:r>
        <w:rPr>
          <w:spacing w:val="-12"/>
          <w:sz w:val="20"/>
        </w:rPr>
        <w:t> </w:t>
      </w:r>
      <w:r>
        <w:rPr>
          <w:sz w:val="20"/>
        </w:rPr>
        <w:t>to</w:t>
      </w:r>
      <w:r>
        <w:rPr>
          <w:spacing w:val="-12"/>
          <w:sz w:val="20"/>
        </w:rPr>
        <w:t> </w:t>
      </w:r>
      <w:r>
        <w:rPr>
          <w:sz w:val="20"/>
        </w:rPr>
        <w:t>KRN,</w:t>
      </w:r>
      <w:r>
        <w:rPr>
          <w:spacing w:val="-13"/>
          <w:sz w:val="20"/>
        </w:rPr>
        <w:t> </w:t>
      </w:r>
      <w:r>
        <w:rPr>
          <w:sz w:val="20"/>
        </w:rPr>
        <w:t>to</w:t>
      </w:r>
      <w:r>
        <w:rPr>
          <w:spacing w:val="-11"/>
          <w:sz w:val="20"/>
        </w:rPr>
        <w:t> </w:t>
      </w:r>
      <w:r>
        <w:rPr>
          <w:sz w:val="20"/>
        </w:rPr>
        <w:t>the</w:t>
      </w:r>
      <w:r>
        <w:rPr>
          <w:spacing w:val="-12"/>
          <w:sz w:val="20"/>
        </w:rPr>
        <w:t> </w:t>
      </w:r>
      <w:r>
        <w:rPr>
          <w:sz w:val="20"/>
        </w:rPr>
        <w:t>new</w:t>
      </w:r>
      <w:r>
        <w:rPr>
          <w:spacing w:val="-15"/>
          <w:sz w:val="20"/>
        </w:rPr>
        <w:t> </w:t>
      </w:r>
      <w:r>
        <w:rPr>
          <w:sz w:val="20"/>
        </w:rPr>
        <w:t>KRN Board,</w:t>
      </w:r>
      <w:r>
        <w:rPr>
          <w:spacing w:val="-12"/>
          <w:sz w:val="20"/>
        </w:rPr>
        <w:t> </w:t>
      </w:r>
      <w:r>
        <w:rPr>
          <w:sz w:val="20"/>
        </w:rPr>
        <w:t>regarding</w:t>
      </w:r>
      <w:r>
        <w:rPr>
          <w:spacing w:val="-10"/>
          <w:sz w:val="20"/>
        </w:rPr>
        <w:t> </w:t>
      </w:r>
      <w:r>
        <w:rPr>
          <w:sz w:val="20"/>
        </w:rPr>
        <w:t>the</w:t>
      </w:r>
      <w:r>
        <w:rPr>
          <w:spacing w:val="-10"/>
          <w:sz w:val="20"/>
        </w:rPr>
        <w:t> </w:t>
      </w:r>
      <w:r>
        <w:rPr>
          <w:sz w:val="20"/>
        </w:rPr>
        <w:t>duties</w:t>
      </w:r>
      <w:r>
        <w:rPr>
          <w:spacing w:val="-10"/>
          <w:sz w:val="20"/>
        </w:rPr>
        <w:t> </w:t>
      </w:r>
      <w:r>
        <w:rPr>
          <w:sz w:val="20"/>
        </w:rPr>
        <w:t>and</w:t>
      </w:r>
      <w:r>
        <w:rPr>
          <w:spacing w:val="-11"/>
          <w:sz w:val="20"/>
        </w:rPr>
        <w:t> </w:t>
      </w:r>
      <w:r>
        <w:rPr>
          <w:sz w:val="20"/>
        </w:rPr>
        <w:t>obligations</w:t>
      </w:r>
      <w:r>
        <w:rPr>
          <w:spacing w:val="-10"/>
          <w:sz w:val="20"/>
        </w:rPr>
        <w:t> </w:t>
      </w:r>
      <w:r>
        <w:rPr>
          <w:sz w:val="20"/>
        </w:rPr>
        <w:t>of</w:t>
      </w:r>
      <w:r>
        <w:rPr>
          <w:spacing w:val="-11"/>
          <w:sz w:val="20"/>
        </w:rPr>
        <w:t> </w:t>
      </w:r>
      <w:r>
        <w:rPr>
          <w:sz w:val="20"/>
        </w:rPr>
        <w:t>directors</w:t>
      </w:r>
      <w:r>
        <w:rPr>
          <w:spacing w:val="-10"/>
          <w:sz w:val="20"/>
        </w:rPr>
        <w:t> </w:t>
      </w:r>
      <w:r>
        <w:rPr>
          <w:sz w:val="20"/>
        </w:rPr>
        <w:t>and</w:t>
      </w:r>
      <w:r>
        <w:rPr>
          <w:spacing w:val="-11"/>
          <w:sz w:val="20"/>
        </w:rPr>
        <w:t> </w:t>
      </w:r>
      <w:r>
        <w:rPr>
          <w:sz w:val="20"/>
        </w:rPr>
        <w:t>officers</w:t>
      </w:r>
      <w:r>
        <w:rPr>
          <w:spacing w:val="-10"/>
          <w:sz w:val="20"/>
        </w:rPr>
        <w:t> </w:t>
      </w:r>
      <w:r>
        <w:rPr>
          <w:sz w:val="20"/>
        </w:rPr>
        <w:t>of</w:t>
      </w:r>
      <w:r>
        <w:rPr>
          <w:spacing w:val="-11"/>
          <w:sz w:val="20"/>
        </w:rPr>
        <w:t> </w:t>
      </w:r>
      <w:r>
        <w:rPr>
          <w:sz w:val="20"/>
        </w:rPr>
        <w:t>a</w:t>
      </w:r>
      <w:r>
        <w:rPr>
          <w:spacing w:val="-10"/>
          <w:sz w:val="20"/>
        </w:rPr>
        <w:t> </w:t>
      </w:r>
      <w:r>
        <w:rPr>
          <w:sz w:val="20"/>
        </w:rPr>
        <w:t>Canadian</w:t>
      </w:r>
      <w:r>
        <w:rPr>
          <w:spacing w:val="-11"/>
          <w:sz w:val="20"/>
        </w:rPr>
        <w:t> </w:t>
      </w:r>
      <w:r>
        <w:rPr>
          <w:sz w:val="20"/>
        </w:rPr>
        <w:t>public</w:t>
      </w:r>
      <w:r>
        <w:rPr>
          <w:spacing w:val="-10"/>
          <w:sz w:val="20"/>
        </w:rPr>
        <w:t> </w:t>
      </w:r>
      <w:r>
        <w:rPr>
          <w:sz w:val="20"/>
        </w:rPr>
        <w:t>company, including an overview of applicable corporate law, securities law (“</w:t>
      </w:r>
      <w:r>
        <w:rPr>
          <w:b/>
          <w:sz w:val="20"/>
        </w:rPr>
        <w:t>Securities Laws</w:t>
      </w:r>
      <w:r>
        <w:rPr>
          <w:sz w:val="20"/>
        </w:rPr>
        <w:t>”) and TSX rules and regulations (“</w:t>
      </w:r>
      <w:r>
        <w:rPr>
          <w:b/>
          <w:sz w:val="20"/>
        </w:rPr>
        <w:t>TSX Rules</w:t>
      </w:r>
      <w:r>
        <w:rPr>
          <w:sz w:val="20"/>
        </w:rPr>
        <w:t>”). Attached and marked as </w:t>
      </w:r>
      <w:r>
        <w:rPr>
          <w:b/>
          <w:sz w:val="20"/>
        </w:rPr>
        <w:t>Exhibit “H” </w:t>
      </w:r>
      <w:r>
        <w:rPr>
          <w:sz w:val="20"/>
        </w:rPr>
        <w:t>to the FDW Affidavit is a copy of page 12 of the presentation materials for the MLT</w:t>
      </w:r>
      <w:r>
        <w:rPr>
          <w:spacing w:val="-14"/>
          <w:sz w:val="20"/>
        </w:rPr>
        <w:t> </w:t>
      </w:r>
      <w:r>
        <w:rPr>
          <w:sz w:val="20"/>
        </w:rPr>
        <w:t>Seminar.</w:t>
      </w:r>
    </w:p>
    <w:p>
      <w:pPr>
        <w:pStyle w:val="BodyText"/>
        <w:spacing w:before="10"/>
      </w:pPr>
    </w:p>
    <w:p>
      <w:pPr>
        <w:pStyle w:val="ListParagraph"/>
        <w:numPr>
          <w:ilvl w:val="0"/>
          <w:numId w:val="1"/>
        </w:numPr>
        <w:tabs>
          <w:tab w:pos="839" w:val="left" w:leader="none"/>
          <w:tab w:pos="841" w:val="left" w:leader="none"/>
        </w:tabs>
        <w:spacing w:line="240" w:lineRule="auto" w:before="0" w:after="0"/>
        <w:ind w:left="840" w:right="0" w:hanging="721"/>
        <w:jc w:val="left"/>
        <w:rPr>
          <w:sz w:val="20"/>
        </w:rPr>
      </w:pPr>
      <w:bookmarkStart w:name="12. The MLT Seminar reviewed:" w:id="28"/>
      <w:bookmarkEnd w:id="28"/>
      <w:r>
        <w:rPr/>
      </w:r>
      <w:bookmarkStart w:name="12. The MLT Seminar reviewed:" w:id="29"/>
      <w:bookmarkEnd w:id="29"/>
      <w:r>
        <w:rPr>
          <w:sz w:val="20"/>
        </w:rPr>
        <w:t>T</w:t>
      </w:r>
      <w:r>
        <w:rPr>
          <w:sz w:val="20"/>
        </w:rPr>
        <w:t>he MLT Seminar</w:t>
      </w:r>
      <w:r>
        <w:rPr>
          <w:spacing w:val="-3"/>
          <w:sz w:val="20"/>
        </w:rPr>
        <w:t> </w:t>
      </w:r>
      <w:r>
        <w:rPr>
          <w:sz w:val="20"/>
        </w:rPr>
        <w:t>reviewed:</w:t>
      </w:r>
    </w:p>
    <w:p>
      <w:pPr>
        <w:pStyle w:val="BodyText"/>
        <w:rPr>
          <w:sz w:val="31"/>
        </w:rPr>
      </w:pPr>
    </w:p>
    <w:p>
      <w:pPr>
        <w:pStyle w:val="ListParagraph"/>
        <w:numPr>
          <w:ilvl w:val="1"/>
          <w:numId w:val="1"/>
        </w:numPr>
        <w:tabs>
          <w:tab w:pos="1559" w:val="left" w:leader="none"/>
          <w:tab w:pos="1560" w:val="left" w:leader="none"/>
        </w:tabs>
        <w:spacing w:line="350" w:lineRule="auto" w:before="0" w:after="0"/>
        <w:ind w:left="1559" w:right="1196" w:hanging="721"/>
        <w:jc w:val="both"/>
        <w:rPr>
          <w:sz w:val="20"/>
        </w:rPr>
      </w:pPr>
      <w:bookmarkStart w:name=" the legal and fiduciary duties of a di" w:id="30"/>
      <w:bookmarkEnd w:id="30"/>
      <w:r>
        <w:rPr/>
      </w:r>
      <w:bookmarkStart w:name=" the legal and fiduciary duties of a di" w:id="31"/>
      <w:bookmarkEnd w:id="31"/>
      <w:r>
        <w:rPr>
          <w:sz w:val="20"/>
        </w:rPr>
        <w:t>t</w:t>
      </w:r>
      <w:r>
        <w:rPr>
          <w:sz w:val="20"/>
        </w:rPr>
        <w:t>he</w:t>
      </w:r>
      <w:r>
        <w:rPr>
          <w:spacing w:val="-15"/>
          <w:sz w:val="20"/>
        </w:rPr>
        <w:t> </w:t>
      </w:r>
      <w:r>
        <w:rPr>
          <w:sz w:val="20"/>
        </w:rPr>
        <w:t>legal</w:t>
      </w:r>
      <w:r>
        <w:rPr>
          <w:spacing w:val="-15"/>
          <w:sz w:val="20"/>
        </w:rPr>
        <w:t> </w:t>
      </w:r>
      <w:r>
        <w:rPr>
          <w:sz w:val="20"/>
        </w:rPr>
        <w:t>and</w:t>
      </w:r>
      <w:r>
        <w:rPr>
          <w:spacing w:val="-14"/>
          <w:sz w:val="20"/>
        </w:rPr>
        <w:t> </w:t>
      </w:r>
      <w:r>
        <w:rPr>
          <w:sz w:val="20"/>
        </w:rPr>
        <w:t>fiduciary</w:t>
      </w:r>
      <w:r>
        <w:rPr>
          <w:spacing w:val="-14"/>
          <w:sz w:val="20"/>
        </w:rPr>
        <w:t> </w:t>
      </w:r>
      <w:r>
        <w:rPr>
          <w:sz w:val="20"/>
        </w:rPr>
        <w:t>duties</w:t>
      </w:r>
      <w:r>
        <w:rPr>
          <w:spacing w:val="-13"/>
          <w:sz w:val="20"/>
        </w:rPr>
        <w:t> </w:t>
      </w:r>
      <w:r>
        <w:rPr>
          <w:sz w:val="20"/>
        </w:rPr>
        <w:t>of</w:t>
      </w:r>
      <w:r>
        <w:rPr>
          <w:spacing w:val="-15"/>
          <w:sz w:val="20"/>
        </w:rPr>
        <w:t> </w:t>
      </w:r>
      <w:r>
        <w:rPr>
          <w:sz w:val="20"/>
        </w:rPr>
        <w:t>a</w:t>
      </w:r>
      <w:r>
        <w:rPr>
          <w:spacing w:val="-14"/>
          <w:sz w:val="20"/>
        </w:rPr>
        <w:t> </w:t>
      </w:r>
      <w:r>
        <w:rPr>
          <w:sz w:val="20"/>
        </w:rPr>
        <w:t>directors</w:t>
      </w:r>
      <w:r>
        <w:rPr>
          <w:spacing w:val="-14"/>
          <w:sz w:val="20"/>
        </w:rPr>
        <w:t> </w:t>
      </w:r>
      <w:r>
        <w:rPr>
          <w:sz w:val="20"/>
        </w:rPr>
        <w:t>and</w:t>
      </w:r>
      <w:r>
        <w:rPr>
          <w:spacing w:val="-14"/>
          <w:sz w:val="20"/>
        </w:rPr>
        <w:t> </w:t>
      </w:r>
      <w:r>
        <w:rPr>
          <w:sz w:val="20"/>
        </w:rPr>
        <w:t>the</w:t>
      </w:r>
      <w:r>
        <w:rPr>
          <w:spacing w:val="-15"/>
          <w:sz w:val="20"/>
        </w:rPr>
        <w:t> </w:t>
      </w:r>
      <w:r>
        <w:rPr>
          <w:sz w:val="20"/>
        </w:rPr>
        <w:t>KRN</w:t>
      </w:r>
      <w:r>
        <w:rPr>
          <w:spacing w:val="-14"/>
          <w:sz w:val="20"/>
        </w:rPr>
        <w:t> </w:t>
      </w:r>
      <w:r>
        <w:rPr>
          <w:sz w:val="20"/>
        </w:rPr>
        <w:t>code</w:t>
      </w:r>
      <w:r>
        <w:rPr>
          <w:spacing w:val="-15"/>
          <w:sz w:val="20"/>
        </w:rPr>
        <w:t> </w:t>
      </w:r>
      <w:r>
        <w:rPr>
          <w:sz w:val="20"/>
        </w:rPr>
        <w:t>of</w:t>
      </w:r>
      <w:r>
        <w:rPr>
          <w:spacing w:val="-14"/>
          <w:sz w:val="20"/>
        </w:rPr>
        <w:t> </w:t>
      </w:r>
      <w:r>
        <w:rPr>
          <w:sz w:val="20"/>
        </w:rPr>
        <w:t>conduct</w:t>
      </w:r>
      <w:r>
        <w:rPr>
          <w:spacing w:val="-15"/>
          <w:sz w:val="20"/>
        </w:rPr>
        <w:t> </w:t>
      </w:r>
      <w:r>
        <w:rPr>
          <w:sz w:val="20"/>
        </w:rPr>
        <w:t>(the</w:t>
      </w:r>
      <w:r>
        <w:rPr>
          <w:spacing w:val="-14"/>
          <w:sz w:val="20"/>
        </w:rPr>
        <w:t> </w:t>
      </w:r>
      <w:r>
        <w:rPr>
          <w:sz w:val="20"/>
        </w:rPr>
        <w:t>“</w:t>
      </w:r>
      <w:r>
        <w:rPr>
          <w:b/>
          <w:sz w:val="20"/>
        </w:rPr>
        <w:t>KRN</w:t>
      </w:r>
      <w:r>
        <w:rPr>
          <w:b/>
          <w:spacing w:val="-14"/>
          <w:sz w:val="20"/>
        </w:rPr>
        <w:t> </w:t>
      </w:r>
      <w:r>
        <w:rPr>
          <w:b/>
          <w:sz w:val="20"/>
        </w:rPr>
        <w:t>Code</w:t>
      </w:r>
      <w:r>
        <w:rPr>
          <w:sz w:val="20"/>
        </w:rPr>
        <w:t>”), a copy of which is filed on</w:t>
      </w:r>
      <w:r>
        <w:rPr>
          <w:spacing w:val="-6"/>
          <w:sz w:val="20"/>
        </w:rPr>
        <w:t> </w:t>
      </w:r>
      <w:r>
        <w:rPr>
          <w:sz w:val="20"/>
        </w:rPr>
        <w:t>SEDAR;</w:t>
      </w:r>
    </w:p>
    <w:p>
      <w:pPr>
        <w:pStyle w:val="BodyText"/>
        <w:spacing w:before="8"/>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bookmarkStart w:name=" the requirements of Securities Laws an" w:id="32"/>
      <w:bookmarkEnd w:id="32"/>
      <w:r>
        <w:rPr/>
      </w:r>
      <w:bookmarkStart w:name=" the requirements of Securities Laws an" w:id="33"/>
      <w:bookmarkEnd w:id="33"/>
      <w:r>
        <w:rPr>
          <w:sz w:val="20"/>
        </w:rPr>
        <w:t>t</w:t>
      </w:r>
      <w:r>
        <w:rPr>
          <w:sz w:val="20"/>
        </w:rPr>
        <w:t>he requirements of Securities Laws and TSX</w:t>
      </w:r>
      <w:r>
        <w:rPr>
          <w:spacing w:val="-7"/>
          <w:sz w:val="20"/>
        </w:rPr>
        <w:t> </w:t>
      </w:r>
      <w:r>
        <w:rPr>
          <w:sz w:val="20"/>
        </w:rPr>
        <w:t>Rules;</w:t>
      </w:r>
    </w:p>
    <w:p>
      <w:pPr>
        <w:pStyle w:val="BodyText"/>
        <w:spacing w:before="9"/>
        <w:rPr>
          <w:sz w:val="30"/>
        </w:rPr>
      </w:pPr>
    </w:p>
    <w:p>
      <w:pPr>
        <w:pStyle w:val="ListParagraph"/>
        <w:numPr>
          <w:ilvl w:val="1"/>
          <w:numId w:val="1"/>
        </w:numPr>
        <w:tabs>
          <w:tab w:pos="1559" w:val="left" w:leader="none"/>
          <w:tab w:pos="1560" w:val="left" w:leader="none"/>
        </w:tabs>
        <w:spacing w:line="355" w:lineRule="auto" w:before="0" w:after="0"/>
        <w:ind w:left="1559" w:right="1197" w:hanging="721"/>
        <w:jc w:val="both"/>
        <w:rPr>
          <w:sz w:val="20"/>
        </w:rPr>
      </w:pPr>
      <w:bookmarkStart w:name=" the requirement for a Canadian public " w:id="34"/>
      <w:bookmarkEnd w:id="34"/>
      <w:r>
        <w:rPr/>
      </w:r>
      <w:bookmarkStart w:name=" the requirement for a Canadian public " w:id="35"/>
      <w:bookmarkEnd w:id="35"/>
      <w:r>
        <w:rPr>
          <w:sz w:val="20"/>
        </w:rPr>
        <w:t>t</w:t>
      </w:r>
      <w:r>
        <w:rPr>
          <w:sz w:val="20"/>
        </w:rPr>
        <w:t>he requirement for a Canadian public company’s board of directors to have a majority of independent</w:t>
      </w:r>
      <w:r>
        <w:rPr>
          <w:spacing w:val="-10"/>
          <w:sz w:val="20"/>
        </w:rPr>
        <w:t> </w:t>
      </w:r>
      <w:r>
        <w:rPr>
          <w:sz w:val="20"/>
        </w:rPr>
        <w:t>directors,</w:t>
      </w:r>
      <w:r>
        <w:rPr>
          <w:spacing w:val="-10"/>
          <w:sz w:val="20"/>
        </w:rPr>
        <w:t> </w:t>
      </w:r>
      <w:r>
        <w:rPr>
          <w:sz w:val="20"/>
        </w:rPr>
        <w:t>and</w:t>
      </w:r>
      <w:r>
        <w:rPr>
          <w:spacing w:val="-11"/>
          <w:sz w:val="20"/>
        </w:rPr>
        <w:t> </w:t>
      </w:r>
      <w:r>
        <w:rPr>
          <w:sz w:val="20"/>
        </w:rPr>
        <w:t>an</w:t>
      </w:r>
      <w:r>
        <w:rPr>
          <w:spacing w:val="-9"/>
          <w:sz w:val="20"/>
        </w:rPr>
        <w:t> </w:t>
      </w:r>
      <w:r>
        <w:rPr>
          <w:sz w:val="20"/>
        </w:rPr>
        <w:t>audit</w:t>
      </w:r>
      <w:r>
        <w:rPr>
          <w:spacing w:val="-11"/>
          <w:sz w:val="20"/>
        </w:rPr>
        <w:t> </w:t>
      </w:r>
      <w:r>
        <w:rPr>
          <w:sz w:val="20"/>
        </w:rPr>
        <w:t>committee</w:t>
      </w:r>
      <w:r>
        <w:rPr>
          <w:spacing w:val="-9"/>
          <w:sz w:val="20"/>
        </w:rPr>
        <w:t> </w:t>
      </w:r>
      <w:r>
        <w:rPr>
          <w:sz w:val="20"/>
        </w:rPr>
        <w:t>and</w:t>
      </w:r>
      <w:r>
        <w:rPr>
          <w:spacing w:val="-10"/>
          <w:sz w:val="20"/>
        </w:rPr>
        <w:t> </w:t>
      </w:r>
      <w:r>
        <w:rPr>
          <w:sz w:val="20"/>
        </w:rPr>
        <w:t>nominating</w:t>
      </w:r>
      <w:r>
        <w:rPr>
          <w:spacing w:val="-9"/>
          <w:sz w:val="20"/>
        </w:rPr>
        <w:t> </w:t>
      </w:r>
      <w:r>
        <w:rPr>
          <w:sz w:val="20"/>
        </w:rPr>
        <w:t>committee</w:t>
      </w:r>
      <w:r>
        <w:rPr>
          <w:spacing w:val="-10"/>
          <w:sz w:val="20"/>
        </w:rPr>
        <w:t> </w:t>
      </w:r>
      <w:r>
        <w:rPr>
          <w:sz w:val="20"/>
        </w:rPr>
        <w:t>to</w:t>
      </w:r>
      <w:r>
        <w:rPr>
          <w:spacing w:val="-9"/>
          <w:sz w:val="20"/>
        </w:rPr>
        <w:t> </w:t>
      </w:r>
      <w:r>
        <w:rPr>
          <w:sz w:val="20"/>
        </w:rPr>
        <w:t>be</w:t>
      </w:r>
      <w:r>
        <w:rPr>
          <w:spacing w:val="-10"/>
          <w:sz w:val="20"/>
        </w:rPr>
        <w:t> </w:t>
      </w:r>
      <w:r>
        <w:rPr>
          <w:sz w:val="20"/>
        </w:rPr>
        <w:t>comprised of 100% independent directors;</w:t>
      </w:r>
      <w:r>
        <w:rPr>
          <w:spacing w:val="-4"/>
          <w:sz w:val="20"/>
        </w:rPr>
        <w:t> </w:t>
      </w:r>
      <w:r>
        <w:rPr>
          <w:sz w:val="20"/>
        </w:rPr>
        <w:t>and</w:t>
      </w:r>
    </w:p>
    <w:p>
      <w:pPr>
        <w:pStyle w:val="BodyText"/>
        <w:spacing w:before="3"/>
        <w:rPr>
          <w:sz w:val="21"/>
        </w:rPr>
      </w:pPr>
    </w:p>
    <w:p>
      <w:pPr>
        <w:pStyle w:val="ListParagraph"/>
        <w:numPr>
          <w:ilvl w:val="1"/>
          <w:numId w:val="1"/>
        </w:numPr>
        <w:tabs>
          <w:tab w:pos="1559" w:val="left" w:leader="none"/>
          <w:tab w:pos="1560" w:val="left" w:leader="none"/>
        </w:tabs>
        <w:spacing w:line="350" w:lineRule="auto" w:before="0" w:after="0"/>
        <w:ind w:left="1559" w:right="1196" w:hanging="721"/>
        <w:jc w:val="both"/>
        <w:rPr>
          <w:sz w:val="20"/>
        </w:rPr>
      </w:pPr>
      <w:bookmarkStart w:name=" the criteria to determine independence" w:id="36"/>
      <w:bookmarkEnd w:id="36"/>
      <w:r>
        <w:rPr/>
      </w:r>
      <w:bookmarkStart w:name=" the criteria to determine independence" w:id="37"/>
      <w:bookmarkEnd w:id="37"/>
      <w:r>
        <w:rPr>
          <w:sz w:val="20"/>
        </w:rPr>
        <w:t>t</w:t>
      </w:r>
      <w:r>
        <w:rPr>
          <w:sz w:val="20"/>
        </w:rPr>
        <w:t>he criteria to determine independence under securities laws and TSX rules and regulations.</w:t>
      </w:r>
    </w:p>
    <w:p>
      <w:pPr>
        <w:pStyle w:val="BodyText"/>
        <w:spacing w:before="8"/>
        <w:rPr>
          <w:sz w:val="21"/>
        </w:rPr>
      </w:pPr>
    </w:p>
    <w:p>
      <w:pPr>
        <w:pStyle w:val="BodyText"/>
        <w:spacing w:before="1"/>
        <w:ind w:left="839"/>
      </w:pPr>
      <w:r>
        <w:rPr/>
        <w:t>Attached and marked as </w:t>
      </w:r>
      <w:r>
        <w:rPr>
          <w:b/>
        </w:rPr>
        <w:t>Exhibit “I” </w:t>
      </w:r>
      <w:r>
        <w:rPr/>
        <w:t>to the FDW Affidavit is a copy of KRN Code.</w:t>
      </w:r>
    </w:p>
    <w:p>
      <w:pPr>
        <w:pStyle w:val="BodyText"/>
        <w:spacing w:before="10"/>
      </w:pPr>
    </w:p>
    <w:p>
      <w:pPr>
        <w:pStyle w:val="Heading1"/>
        <w:ind w:left="119" w:firstLine="0"/>
        <w:rPr>
          <w:u w:val="none"/>
        </w:rPr>
      </w:pPr>
      <w:bookmarkStart w:name="13. I remember the Enron and WorldCom ac" w:id="38"/>
      <w:bookmarkEnd w:id="38"/>
      <w:r>
        <w:rPr>
          <w:b w:val="0"/>
          <w:u w:val="none"/>
        </w:rPr>
      </w:r>
      <w:r>
        <w:rPr>
          <w:u w:val="none"/>
        </w:rPr>
        <w:t>Corporate Governance in Canada</w:t>
      </w:r>
    </w:p>
    <w:p>
      <w:pPr>
        <w:pStyle w:val="BodyText"/>
        <w:spacing w:before="9"/>
        <w:rPr>
          <w:b/>
        </w:rPr>
      </w:pPr>
    </w:p>
    <w:p>
      <w:pPr>
        <w:pStyle w:val="ListParagraph"/>
        <w:numPr>
          <w:ilvl w:val="0"/>
          <w:numId w:val="1"/>
        </w:numPr>
        <w:tabs>
          <w:tab w:pos="840" w:val="left" w:leader="none"/>
        </w:tabs>
        <w:spacing w:line="360" w:lineRule="auto" w:before="0" w:after="0"/>
        <w:ind w:left="839" w:right="1196" w:hanging="721"/>
        <w:jc w:val="both"/>
        <w:rPr>
          <w:sz w:val="20"/>
        </w:rPr>
      </w:pPr>
      <w:r>
        <w:rPr>
          <w:sz w:val="20"/>
        </w:rPr>
        <w:t>I remember the Enron and WorldCom accounting and corporate scandals of the early 2000’s. I remember when the United States Congress enacting the Sarbanes-Oxley Act (“</w:t>
      </w:r>
      <w:r>
        <w:rPr>
          <w:b/>
          <w:sz w:val="20"/>
        </w:rPr>
        <w:t>SOX</w:t>
      </w:r>
      <w:r>
        <w:rPr>
          <w:sz w:val="20"/>
        </w:rPr>
        <w:t>”) in 2002, and</w:t>
      </w:r>
      <w:r>
        <w:rPr>
          <w:spacing w:val="-9"/>
          <w:sz w:val="20"/>
        </w:rPr>
        <w:t> </w:t>
      </w:r>
      <w:r>
        <w:rPr>
          <w:sz w:val="20"/>
        </w:rPr>
        <w:t>created</w:t>
      </w:r>
      <w:r>
        <w:rPr>
          <w:spacing w:val="-6"/>
          <w:sz w:val="20"/>
        </w:rPr>
        <w:t> </w:t>
      </w:r>
      <w:r>
        <w:rPr>
          <w:sz w:val="20"/>
        </w:rPr>
        <w:t>the</w:t>
      </w:r>
      <w:r>
        <w:rPr>
          <w:spacing w:val="-7"/>
          <w:sz w:val="20"/>
        </w:rPr>
        <w:t> </w:t>
      </w:r>
      <w:r>
        <w:rPr>
          <w:sz w:val="20"/>
        </w:rPr>
        <w:t>modern</w:t>
      </w:r>
      <w:r>
        <w:rPr>
          <w:spacing w:val="-8"/>
          <w:sz w:val="20"/>
        </w:rPr>
        <w:t> </w:t>
      </w:r>
      <w:r>
        <w:rPr>
          <w:sz w:val="20"/>
        </w:rPr>
        <w:t>era</w:t>
      </w:r>
      <w:r>
        <w:rPr>
          <w:spacing w:val="-7"/>
          <w:sz w:val="20"/>
        </w:rPr>
        <w:t> </w:t>
      </w:r>
      <w:r>
        <w:rPr>
          <w:sz w:val="20"/>
        </w:rPr>
        <w:t>of</w:t>
      </w:r>
      <w:r>
        <w:rPr>
          <w:spacing w:val="-7"/>
          <w:sz w:val="20"/>
        </w:rPr>
        <w:t> </w:t>
      </w:r>
      <w:r>
        <w:rPr>
          <w:sz w:val="20"/>
        </w:rPr>
        <w:t>corporate</w:t>
      </w:r>
      <w:r>
        <w:rPr>
          <w:spacing w:val="-8"/>
          <w:sz w:val="20"/>
        </w:rPr>
        <w:t> </w:t>
      </w:r>
      <w:r>
        <w:rPr>
          <w:sz w:val="20"/>
        </w:rPr>
        <w:t>governance,</w:t>
      </w:r>
      <w:r>
        <w:rPr>
          <w:spacing w:val="-9"/>
          <w:sz w:val="20"/>
        </w:rPr>
        <w:t> </w:t>
      </w:r>
      <w:r>
        <w:rPr>
          <w:sz w:val="20"/>
        </w:rPr>
        <w:t>including</w:t>
      </w:r>
      <w:r>
        <w:rPr>
          <w:spacing w:val="-6"/>
          <w:sz w:val="20"/>
        </w:rPr>
        <w:t> </w:t>
      </w:r>
      <w:r>
        <w:rPr>
          <w:sz w:val="20"/>
        </w:rPr>
        <w:t>the</w:t>
      </w:r>
      <w:r>
        <w:rPr>
          <w:spacing w:val="-9"/>
          <w:sz w:val="20"/>
        </w:rPr>
        <w:t> </w:t>
      </w:r>
      <w:r>
        <w:rPr>
          <w:sz w:val="20"/>
        </w:rPr>
        <w:t>requirement</w:t>
      </w:r>
      <w:r>
        <w:rPr>
          <w:spacing w:val="-7"/>
          <w:sz w:val="20"/>
        </w:rPr>
        <w:t> </w:t>
      </w:r>
      <w:r>
        <w:rPr>
          <w:sz w:val="20"/>
        </w:rPr>
        <w:t>to</w:t>
      </w:r>
      <w:r>
        <w:rPr>
          <w:spacing w:val="-7"/>
          <w:sz w:val="20"/>
        </w:rPr>
        <w:t> </w:t>
      </w:r>
      <w:r>
        <w:rPr>
          <w:sz w:val="20"/>
        </w:rPr>
        <w:t>have</w:t>
      </w:r>
      <w:r>
        <w:rPr>
          <w:spacing w:val="-6"/>
          <w:sz w:val="20"/>
        </w:rPr>
        <w:t> </w:t>
      </w:r>
      <w:r>
        <w:rPr>
          <w:sz w:val="20"/>
        </w:rPr>
        <w:t>a</w:t>
      </w:r>
      <w:r>
        <w:rPr>
          <w:spacing w:val="-7"/>
          <w:sz w:val="20"/>
        </w:rPr>
        <w:t> </w:t>
      </w:r>
      <w:r>
        <w:rPr>
          <w:sz w:val="20"/>
        </w:rPr>
        <w:t>board</w:t>
      </w:r>
      <w:r>
        <w:rPr>
          <w:spacing w:val="-6"/>
          <w:sz w:val="20"/>
        </w:rPr>
        <w:t> </w:t>
      </w:r>
      <w:r>
        <w:rPr>
          <w:sz w:val="20"/>
        </w:rPr>
        <w:t>of directors of a public company with a majority of independent</w:t>
      </w:r>
      <w:r>
        <w:rPr>
          <w:spacing w:val="-10"/>
          <w:sz w:val="20"/>
        </w:rPr>
        <w:t> </w:t>
      </w:r>
      <w:r>
        <w:rPr>
          <w:sz w:val="20"/>
        </w:rPr>
        <w:t>directors.</w:t>
      </w:r>
    </w:p>
    <w:p>
      <w:pPr>
        <w:pStyle w:val="BodyText"/>
        <w:spacing w:before="10"/>
      </w:pPr>
    </w:p>
    <w:p>
      <w:pPr>
        <w:pStyle w:val="ListParagraph"/>
        <w:numPr>
          <w:ilvl w:val="0"/>
          <w:numId w:val="1"/>
        </w:numPr>
        <w:tabs>
          <w:tab w:pos="840" w:val="left" w:leader="none"/>
        </w:tabs>
        <w:spacing w:line="360" w:lineRule="auto" w:before="1" w:after="0"/>
        <w:ind w:left="839" w:right="1198" w:hanging="721"/>
        <w:jc w:val="both"/>
        <w:rPr>
          <w:sz w:val="20"/>
        </w:rPr>
      </w:pPr>
      <w:bookmarkStart w:name="14. I remember when the Canadian securit" w:id="39"/>
      <w:bookmarkEnd w:id="39"/>
      <w:r>
        <w:rPr/>
      </w:r>
      <w:bookmarkStart w:name="14. I remember when the Canadian securit" w:id="40"/>
      <w:bookmarkEnd w:id="40"/>
      <w:r>
        <w:rPr>
          <w:sz w:val="20"/>
        </w:rPr>
        <w:t>I</w:t>
      </w:r>
      <w:r>
        <w:rPr>
          <w:sz w:val="20"/>
        </w:rPr>
        <w:t> remember when the Canadian securities administrators and the TSX adopted similar rules in Canada. I verily believe these rules have been around for almost 20</w:t>
      </w:r>
      <w:r>
        <w:rPr>
          <w:spacing w:val="-16"/>
          <w:sz w:val="20"/>
        </w:rPr>
        <w:t> </w:t>
      </w:r>
      <w:r>
        <w:rPr>
          <w:sz w:val="20"/>
        </w:rPr>
        <w:t>years.</w:t>
      </w:r>
    </w:p>
    <w:p>
      <w:pPr>
        <w:pStyle w:val="BodyText"/>
        <w:spacing w:before="9"/>
      </w:pPr>
    </w:p>
    <w:p>
      <w:pPr>
        <w:pStyle w:val="ListParagraph"/>
        <w:numPr>
          <w:ilvl w:val="0"/>
          <w:numId w:val="1"/>
        </w:numPr>
        <w:tabs>
          <w:tab w:pos="841" w:val="left" w:leader="none"/>
        </w:tabs>
        <w:spacing w:line="360" w:lineRule="auto" w:before="0" w:after="0"/>
        <w:ind w:left="840" w:right="1196" w:hanging="721"/>
        <w:jc w:val="both"/>
        <w:rPr>
          <w:sz w:val="20"/>
        </w:rPr>
      </w:pPr>
      <w:bookmarkStart w:name="15. I verily believe that having a major" w:id="41"/>
      <w:bookmarkEnd w:id="41"/>
      <w:r>
        <w:rPr/>
      </w:r>
      <w:bookmarkStart w:name="15. I verily believe that having a major" w:id="42"/>
      <w:bookmarkEnd w:id="42"/>
      <w:r>
        <w:rPr>
          <w:sz w:val="20"/>
        </w:rPr>
        <w:t>I</w:t>
      </w:r>
      <w:r>
        <w:rPr>
          <w:spacing w:val="-12"/>
          <w:sz w:val="20"/>
        </w:rPr>
        <w:t> </w:t>
      </w:r>
      <w:r>
        <w:rPr>
          <w:sz w:val="20"/>
        </w:rPr>
        <w:t>verily</w:t>
      </w:r>
      <w:r>
        <w:rPr>
          <w:spacing w:val="-11"/>
          <w:sz w:val="20"/>
        </w:rPr>
        <w:t> </w:t>
      </w:r>
      <w:r>
        <w:rPr>
          <w:sz w:val="20"/>
        </w:rPr>
        <w:t>believe</w:t>
      </w:r>
      <w:r>
        <w:rPr>
          <w:spacing w:val="-10"/>
          <w:sz w:val="20"/>
        </w:rPr>
        <w:t> </w:t>
      </w:r>
      <w:r>
        <w:rPr>
          <w:sz w:val="20"/>
        </w:rPr>
        <w:t>that</w:t>
      </w:r>
      <w:r>
        <w:rPr>
          <w:spacing w:val="-12"/>
          <w:sz w:val="20"/>
        </w:rPr>
        <w:t> </w:t>
      </w:r>
      <w:r>
        <w:rPr>
          <w:sz w:val="20"/>
        </w:rPr>
        <w:t>having</w:t>
      </w:r>
      <w:r>
        <w:rPr>
          <w:spacing w:val="-10"/>
          <w:sz w:val="20"/>
        </w:rPr>
        <w:t> </w:t>
      </w:r>
      <w:r>
        <w:rPr>
          <w:sz w:val="20"/>
        </w:rPr>
        <w:t>a</w:t>
      </w:r>
      <w:r>
        <w:rPr>
          <w:spacing w:val="-10"/>
          <w:sz w:val="20"/>
        </w:rPr>
        <w:t> </w:t>
      </w:r>
      <w:r>
        <w:rPr>
          <w:sz w:val="20"/>
        </w:rPr>
        <w:t>majority</w:t>
      </w:r>
      <w:r>
        <w:rPr>
          <w:spacing w:val="-11"/>
          <w:sz w:val="20"/>
        </w:rPr>
        <w:t> </w:t>
      </w:r>
      <w:r>
        <w:rPr>
          <w:sz w:val="20"/>
        </w:rPr>
        <w:t>of</w:t>
      </w:r>
      <w:r>
        <w:rPr>
          <w:spacing w:val="-11"/>
          <w:sz w:val="20"/>
        </w:rPr>
        <w:t> </w:t>
      </w:r>
      <w:r>
        <w:rPr>
          <w:sz w:val="20"/>
        </w:rPr>
        <w:t>independent</w:t>
      </w:r>
      <w:r>
        <w:rPr>
          <w:spacing w:val="-11"/>
          <w:sz w:val="20"/>
        </w:rPr>
        <w:t> </w:t>
      </w:r>
      <w:r>
        <w:rPr>
          <w:sz w:val="20"/>
        </w:rPr>
        <w:t>directors</w:t>
      </w:r>
      <w:r>
        <w:rPr>
          <w:spacing w:val="-11"/>
          <w:sz w:val="20"/>
        </w:rPr>
        <w:t> </w:t>
      </w:r>
      <w:r>
        <w:rPr>
          <w:sz w:val="20"/>
        </w:rPr>
        <w:t>on</w:t>
      </w:r>
      <w:r>
        <w:rPr>
          <w:spacing w:val="-10"/>
          <w:sz w:val="20"/>
        </w:rPr>
        <w:t> </w:t>
      </w:r>
      <w:r>
        <w:rPr>
          <w:sz w:val="20"/>
        </w:rPr>
        <w:t>a</w:t>
      </w:r>
      <w:r>
        <w:rPr>
          <w:spacing w:val="-11"/>
          <w:sz w:val="20"/>
        </w:rPr>
        <w:t> </w:t>
      </w:r>
      <w:r>
        <w:rPr>
          <w:sz w:val="20"/>
        </w:rPr>
        <w:t>board</w:t>
      </w:r>
      <w:r>
        <w:rPr>
          <w:spacing w:val="-11"/>
          <w:sz w:val="20"/>
        </w:rPr>
        <w:t> </w:t>
      </w:r>
      <w:r>
        <w:rPr>
          <w:sz w:val="20"/>
        </w:rPr>
        <w:t>of</w:t>
      </w:r>
      <w:r>
        <w:rPr>
          <w:spacing w:val="-11"/>
          <w:sz w:val="20"/>
        </w:rPr>
        <w:t> </w:t>
      </w:r>
      <w:r>
        <w:rPr>
          <w:sz w:val="20"/>
        </w:rPr>
        <w:t>directors</w:t>
      </w:r>
      <w:r>
        <w:rPr>
          <w:spacing w:val="-10"/>
          <w:sz w:val="20"/>
        </w:rPr>
        <w:t> </w:t>
      </w:r>
      <w:r>
        <w:rPr>
          <w:sz w:val="20"/>
        </w:rPr>
        <w:t>of</w:t>
      </w:r>
      <w:r>
        <w:rPr>
          <w:spacing w:val="-12"/>
          <w:sz w:val="20"/>
        </w:rPr>
        <w:t> </w:t>
      </w:r>
      <w:r>
        <w:rPr>
          <w:sz w:val="20"/>
        </w:rPr>
        <w:t>a</w:t>
      </w:r>
      <w:r>
        <w:rPr>
          <w:spacing w:val="-10"/>
          <w:sz w:val="20"/>
        </w:rPr>
        <w:t> </w:t>
      </w:r>
      <w:r>
        <w:rPr>
          <w:sz w:val="20"/>
        </w:rPr>
        <w:t>Canadian public</w:t>
      </w:r>
      <w:r>
        <w:rPr>
          <w:spacing w:val="-6"/>
          <w:sz w:val="20"/>
        </w:rPr>
        <w:t> </w:t>
      </w:r>
      <w:r>
        <w:rPr>
          <w:sz w:val="20"/>
        </w:rPr>
        <w:t>company</w:t>
      </w:r>
      <w:r>
        <w:rPr>
          <w:spacing w:val="-6"/>
          <w:sz w:val="20"/>
        </w:rPr>
        <w:t> </w:t>
      </w:r>
      <w:r>
        <w:rPr>
          <w:sz w:val="20"/>
        </w:rPr>
        <w:t>is</w:t>
      </w:r>
      <w:r>
        <w:rPr>
          <w:spacing w:val="-7"/>
          <w:sz w:val="20"/>
        </w:rPr>
        <w:t> </w:t>
      </w:r>
      <w:r>
        <w:rPr>
          <w:sz w:val="20"/>
        </w:rPr>
        <w:t>standard</w:t>
      </w:r>
      <w:r>
        <w:rPr>
          <w:spacing w:val="-6"/>
          <w:sz w:val="20"/>
        </w:rPr>
        <w:t> </w:t>
      </w:r>
      <w:r>
        <w:rPr>
          <w:sz w:val="20"/>
        </w:rPr>
        <w:t>Canadian</w:t>
      </w:r>
      <w:r>
        <w:rPr>
          <w:spacing w:val="-5"/>
          <w:sz w:val="20"/>
        </w:rPr>
        <w:t> </w:t>
      </w:r>
      <w:r>
        <w:rPr>
          <w:sz w:val="20"/>
        </w:rPr>
        <w:t>business</w:t>
      </w:r>
      <w:r>
        <w:rPr>
          <w:spacing w:val="-6"/>
          <w:sz w:val="20"/>
        </w:rPr>
        <w:t> </w:t>
      </w:r>
      <w:r>
        <w:rPr>
          <w:sz w:val="20"/>
        </w:rPr>
        <w:t>practice,</w:t>
      </w:r>
      <w:r>
        <w:rPr>
          <w:spacing w:val="-7"/>
          <w:sz w:val="20"/>
        </w:rPr>
        <w:t> </w:t>
      </w:r>
      <w:r>
        <w:rPr>
          <w:sz w:val="20"/>
        </w:rPr>
        <w:t>as</w:t>
      </w:r>
      <w:r>
        <w:rPr>
          <w:spacing w:val="-7"/>
          <w:sz w:val="20"/>
        </w:rPr>
        <w:t> </w:t>
      </w:r>
      <w:r>
        <w:rPr>
          <w:sz w:val="20"/>
        </w:rPr>
        <w:t>well</w:t>
      </w:r>
      <w:r>
        <w:rPr>
          <w:spacing w:val="-6"/>
          <w:sz w:val="20"/>
        </w:rPr>
        <w:t> </w:t>
      </w:r>
      <w:r>
        <w:rPr>
          <w:sz w:val="20"/>
        </w:rPr>
        <w:t>the</w:t>
      </w:r>
      <w:r>
        <w:rPr>
          <w:spacing w:val="-6"/>
          <w:sz w:val="20"/>
        </w:rPr>
        <w:t> </w:t>
      </w:r>
      <w:r>
        <w:rPr>
          <w:sz w:val="20"/>
        </w:rPr>
        <w:t>law</w:t>
      </w:r>
      <w:r>
        <w:rPr>
          <w:spacing w:val="-6"/>
          <w:sz w:val="20"/>
        </w:rPr>
        <w:t> </w:t>
      </w:r>
      <w:r>
        <w:rPr>
          <w:sz w:val="20"/>
        </w:rPr>
        <w:t>in</w:t>
      </w:r>
      <w:r>
        <w:rPr>
          <w:spacing w:val="-6"/>
          <w:sz w:val="20"/>
        </w:rPr>
        <w:t> </w:t>
      </w:r>
      <w:r>
        <w:rPr>
          <w:sz w:val="20"/>
        </w:rPr>
        <w:t>Canada.</w:t>
      </w:r>
      <w:r>
        <w:rPr>
          <w:spacing w:val="-7"/>
          <w:sz w:val="20"/>
        </w:rPr>
        <w:t> </w:t>
      </w:r>
      <w:r>
        <w:rPr>
          <w:sz w:val="20"/>
        </w:rPr>
        <w:t>I</w:t>
      </w:r>
      <w:r>
        <w:rPr>
          <w:spacing w:val="-7"/>
          <w:sz w:val="20"/>
        </w:rPr>
        <w:t> </w:t>
      </w:r>
      <w:r>
        <w:rPr>
          <w:sz w:val="20"/>
        </w:rPr>
        <w:t>verily</w:t>
      </w:r>
      <w:r>
        <w:rPr>
          <w:spacing w:val="-6"/>
          <w:sz w:val="20"/>
        </w:rPr>
        <w:t> </w:t>
      </w:r>
      <w:r>
        <w:rPr>
          <w:sz w:val="20"/>
        </w:rPr>
        <w:t>believe that the MLT Seminar confirmed my</w:t>
      </w:r>
      <w:r>
        <w:rPr>
          <w:spacing w:val="-7"/>
          <w:sz w:val="20"/>
        </w:rPr>
        <w:t> </w:t>
      </w:r>
      <w:r>
        <w:rPr>
          <w:sz w:val="20"/>
        </w:rPr>
        <w:t>beliefs.</w:t>
      </w:r>
    </w:p>
    <w:p>
      <w:pPr>
        <w:spacing w:after="0" w:line="360" w:lineRule="auto"/>
        <w:jc w:val="both"/>
        <w:rPr>
          <w:sz w:val="20"/>
        </w:rPr>
        <w:sectPr>
          <w:footerReference w:type="default" r:id="rId8"/>
          <w:pgSz w:w="12240" w:h="15840"/>
          <w:pgMar w:footer="971" w:header="0" w:top="1220" w:bottom="1160" w:left="1320" w:right="240"/>
          <w:pgNumType w:start="4"/>
        </w:sectPr>
      </w:pPr>
    </w:p>
    <w:p>
      <w:pPr>
        <w:pStyle w:val="ListParagraph"/>
        <w:numPr>
          <w:ilvl w:val="0"/>
          <w:numId w:val="1"/>
        </w:numPr>
        <w:tabs>
          <w:tab w:pos="841" w:val="left" w:leader="none"/>
        </w:tabs>
        <w:spacing w:line="360" w:lineRule="auto" w:before="75" w:after="0"/>
        <w:ind w:left="839" w:right="1196" w:hanging="720"/>
        <w:jc w:val="both"/>
        <w:rPr>
          <w:sz w:val="20"/>
        </w:rPr>
      </w:pPr>
      <w:bookmarkStart w:name="16. I verily believe that GSFC, and its " w:id="43"/>
      <w:bookmarkEnd w:id="43"/>
      <w:r>
        <w:rPr/>
      </w:r>
      <w:bookmarkStart w:name="16. I verily believe that GSFC, and its " w:id="44"/>
      <w:bookmarkEnd w:id="44"/>
      <w:r>
        <w:rPr>
          <w:sz w:val="20"/>
        </w:rPr>
        <w:t>I</w:t>
      </w:r>
      <w:r>
        <w:rPr>
          <w:sz w:val="20"/>
        </w:rPr>
        <w:t> verily believe that GSFC, and its nominees on the KRN Board, are fully aware of the rules in Canada regarding the requirement for a board of directors of a Canadian publicly listed company to</w:t>
      </w:r>
      <w:r>
        <w:rPr>
          <w:spacing w:val="-15"/>
          <w:sz w:val="20"/>
        </w:rPr>
        <w:t> </w:t>
      </w:r>
      <w:r>
        <w:rPr>
          <w:sz w:val="20"/>
        </w:rPr>
        <w:t>have</w:t>
      </w:r>
      <w:r>
        <w:rPr>
          <w:spacing w:val="-15"/>
          <w:sz w:val="20"/>
        </w:rPr>
        <w:t> </w:t>
      </w:r>
      <w:r>
        <w:rPr>
          <w:sz w:val="20"/>
        </w:rPr>
        <w:t>a</w:t>
      </w:r>
      <w:r>
        <w:rPr>
          <w:spacing w:val="-15"/>
          <w:sz w:val="20"/>
        </w:rPr>
        <w:t> </w:t>
      </w:r>
      <w:r>
        <w:rPr>
          <w:sz w:val="20"/>
        </w:rPr>
        <w:t>majority</w:t>
      </w:r>
      <w:r>
        <w:rPr>
          <w:spacing w:val="-15"/>
          <w:sz w:val="20"/>
        </w:rPr>
        <w:t> </w:t>
      </w:r>
      <w:r>
        <w:rPr>
          <w:sz w:val="20"/>
        </w:rPr>
        <w:t>of</w:t>
      </w:r>
      <w:r>
        <w:rPr>
          <w:spacing w:val="-15"/>
          <w:sz w:val="20"/>
        </w:rPr>
        <w:t> </w:t>
      </w:r>
      <w:r>
        <w:rPr>
          <w:sz w:val="20"/>
        </w:rPr>
        <w:t>independent</w:t>
      </w:r>
      <w:r>
        <w:rPr>
          <w:spacing w:val="-15"/>
          <w:sz w:val="20"/>
        </w:rPr>
        <w:t> </w:t>
      </w:r>
      <w:r>
        <w:rPr>
          <w:sz w:val="20"/>
        </w:rPr>
        <w:t>directors,</w:t>
      </w:r>
      <w:r>
        <w:rPr>
          <w:spacing w:val="-17"/>
          <w:sz w:val="20"/>
        </w:rPr>
        <w:t> </w:t>
      </w:r>
      <w:r>
        <w:rPr>
          <w:sz w:val="20"/>
        </w:rPr>
        <w:t>and</w:t>
      </w:r>
      <w:r>
        <w:rPr>
          <w:spacing w:val="-15"/>
          <w:sz w:val="20"/>
        </w:rPr>
        <w:t> </w:t>
      </w:r>
      <w:r>
        <w:rPr>
          <w:sz w:val="20"/>
        </w:rPr>
        <w:t>for</w:t>
      </w:r>
      <w:r>
        <w:rPr>
          <w:spacing w:val="-13"/>
          <w:sz w:val="20"/>
        </w:rPr>
        <w:t> </w:t>
      </w:r>
      <w:r>
        <w:rPr>
          <w:sz w:val="20"/>
        </w:rPr>
        <w:t>an</w:t>
      </w:r>
      <w:r>
        <w:rPr>
          <w:spacing w:val="-15"/>
          <w:sz w:val="20"/>
        </w:rPr>
        <w:t> </w:t>
      </w:r>
      <w:r>
        <w:rPr>
          <w:sz w:val="20"/>
        </w:rPr>
        <w:t>audit</w:t>
      </w:r>
      <w:r>
        <w:rPr>
          <w:spacing w:val="-17"/>
          <w:sz w:val="20"/>
        </w:rPr>
        <w:t> </w:t>
      </w:r>
      <w:r>
        <w:rPr>
          <w:sz w:val="20"/>
        </w:rPr>
        <w:t>committee</w:t>
      </w:r>
      <w:r>
        <w:rPr>
          <w:spacing w:val="-15"/>
          <w:sz w:val="20"/>
        </w:rPr>
        <w:t> </w:t>
      </w:r>
      <w:r>
        <w:rPr>
          <w:sz w:val="20"/>
        </w:rPr>
        <w:t>and</w:t>
      </w:r>
      <w:r>
        <w:rPr>
          <w:spacing w:val="-15"/>
          <w:sz w:val="20"/>
        </w:rPr>
        <w:t> </w:t>
      </w:r>
      <w:r>
        <w:rPr>
          <w:sz w:val="20"/>
        </w:rPr>
        <w:t>a</w:t>
      </w:r>
      <w:r>
        <w:rPr>
          <w:spacing w:val="-16"/>
          <w:sz w:val="20"/>
        </w:rPr>
        <w:t> </w:t>
      </w:r>
      <w:r>
        <w:rPr>
          <w:sz w:val="20"/>
        </w:rPr>
        <w:t>nominating</w:t>
      </w:r>
      <w:r>
        <w:rPr>
          <w:spacing w:val="-16"/>
          <w:sz w:val="20"/>
        </w:rPr>
        <w:t> </w:t>
      </w:r>
      <w:r>
        <w:rPr>
          <w:sz w:val="20"/>
        </w:rPr>
        <w:t>committee to be comprised of 100% of independent</w:t>
      </w:r>
      <w:r>
        <w:rPr>
          <w:spacing w:val="-9"/>
          <w:sz w:val="20"/>
        </w:rPr>
        <w:t> </w:t>
      </w:r>
      <w:r>
        <w:rPr>
          <w:sz w:val="20"/>
        </w:rPr>
        <w:t>directors.</w:t>
      </w:r>
    </w:p>
    <w:p>
      <w:pPr>
        <w:pStyle w:val="BodyText"/>
        <w:rPr>
          <w:sz w:val="21"/>
        </w:rPr>
      </w:pPr>
    </w:p>
    <w:p>
      <w:pPr>
        <w:pStyle w:val="Heading1"/>
        <w:ind w:left="119" w:firstLine="0"/>
        <w:rPr>
          <w:u w:val="none"/>
        </w:rPr>
      </w:pPr>
      <w:r>
        <w:rPr>
          <w:u w:val="none"/>
        </w:rPr>
        <w:t>GSFC Subscription Agreement – Contractual Right to Appoint Directors</w:t>
      </w:r>
    </w:p>
    <w:p>
      <w:pPr>
        <w:pStyle w:val="BodyText"/>
        <w:spacing w:before="9"/>
        <w:rPr>
          <w:b/>
        </w:rPr>
      </w:pPr>
    </w:p>
    <w:p>
      <w:pPr>
        <w:pStyle w:val="ListParagraph"/>
        <w:numPr>
          <w:ilvl w:val="0"/>
          <w:numId w:val="1"/>
        </w:numPr>
        <w:tabs>
          <w:tab w:pos="840" w:val="left" w:leader="none"/>
        </w:tabs>
        <w:spacing w:line="360" w:lineRule="auto" w:before="1" w:after="0"/>
        <w:ind w:left="839" w:right="1196" w:hanging="720"/>
        <w:jc w:val="both"/>
        <w:rPr>
          <w:sz w:val="20"/>
        </w:rPr>
      </w:pPr>
      <w:r>
        <w:rPr>
          <w:sz w:val="20"/>
        </w:rPr>
        <w:t>I have reviewed the subscription agreement dated January 13, 2013 (the “</w:t>
      </w:r>
      <w:r>
        <w:rPr>
          <w:b/>
          <w:sz w:val="20"/>
        </w:rPr>
        <w:t>Subscription Agreement</w:t>
      </w:r>
      <w:r>
        <w:rPr>
          <w:sz w:val="20"/>
        </w:rPr>
        <w:t>”) between KRN and GSFC, pursuant to which GSFC became a 19.98% shareholder of KRN, a copy of which is filed on System for Electronic Document Analysis and Retrieval (“</w:t>
      </w:r>
      <w:r>
        <w:rPr>
          <w:b/>
          <w:sz w:val="20"/>
        </w:rPr>
        <w:t>SEDAR”</w:t>
      </w:r>
      <w:r>
        <w:rPr>
          <w:sz w:val="20"/>
        </w:rPr>
        <w:t>). Attached and marked as </w:t>
      </w:r>
      <w:r>
        <w:rPr>
          <w:b/>
          <w:sz w:val="20"/>
        </w:rPr>
        <w:t>Exhibit “J” </w:t>
      </w:r>
      <w:r>
        <w:rPr>
          <w:sz w:val="20"/>
        </w:rPr>
        <w:t>to the FDW Affidavit is a copy of Section 4.1 of the Subscription Agreement. Attached and marked as </w:t>
      </w:r>
      <w:r>
        <w:rPr>
          <w:b/>
          <w:sz w:val="20"/>
        </w:rPr>
        <w:t>Exhibit “K” </w:t>
      </w:r>
      <w:r>
        <w:rPr>
          <w:sz w:val="20"/>
        </w:rPr>
        <w:t>to the FDW Affidavit is a copy of GSFC’s press release of March 7,</w:t>
      </w:r>
      <w:r>
        <w:rPr>
          <w:spacing w:val="-6"/>
          <w:sz w:val="20"/>
        </w:rPr>
        <w:t> </w:t>
      </w:r>
      <w:r>
        <w:rPr>
          <w:sz w:val="20"/>
        </w:rPr>
        <w:t>2013.</w:t>
      </w:r>
    </w:p>
    <w:p>
      <w:pPr>
        <w:pStyle w:val="BodyText"/>
        <w:spacing w:before="9"/>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I have reviewed </w:t>
      </w:r>
      <w:r>
        <w:rPr>
          <w:color w:val="231F20"/>
          <w:sz w:val="20"/>
        </w:rPr>
        <w:t>Section 4.1 of the Subscription Agreement, which reads as</w:t>
      </w:r>
      <w:r>
        <w:rPr>
          <w:color w:val="231F20"/>
          <w:spacing w:val="-16"/>
          <w:sz w:val="20"/>
        </w:rPr>
        <w:t> </w:t>
      </w:r>
      <w:r>
        <w:rPr>
          <w:color w:val="231F20"/>
          <w:sz w:val="20"/>
        </w:rPr>
        <w:t>follows:</w:t>
      </w:r>
    </w:p>
    <w:p>
      <w:pPr>
        <w:pStyle w:val="BodyText"/>
        <w:rPr>
          <w:sz w:val="31"/>
        </w:rPr>
      </w:pPr>
    </w:p>
    <w:p>
      <w:pPr>
        <w:spacing w:before="0"/>
        <w:ind w:left="930" w:right="0" w:firstLine="0"/>
        <w:jc w:val="both"/>
        <w:rPr>
          <w:b/>
          <w:i/>
          <w:sz w:val="20"/>
        </w:rPr>
      </w:pPr>
      <w:r>
        <w:rPr>
          <w:b/>
          <w:w w:val="105"/>
          <w:sz w:val="20"/>
        </w:rPr>
        <w:t>“4.1 - </w:t>
      </w:r>
      <w:r>
        <w:rPr>
          <w:b/>
          <w:i/>
          <w:w w:val="105"/>
          <w:sz w:val="20"/>
        </w:rPr>
        <w:t>Investor Nominee to the Board of Directors</w:t>
      </w:r>
    </w:p>
    <w:p>
      <w:pPr>
        <w:pStyle w:val="BodyText"/>
        <w:spacing w:before="9"/>
        <w:rPr>
          <w:b/>
          <w:i/>
        </w:rPr>
      </w:pPr>
    </w:p>
    <w:p>
      <w:pPr>
        <w:spacing w:line="276" w:lineRule="auto" w:before="0"/>
        <w:ind w:left="929" w:right="1197" w:firstLine="16"/>
        <w:jc w:val="both"/>
        <w:rPr>
          <w:i/>
          <w:sz w:val="20"/>
        </w:rPr>
      </w:pPr>
      <w:r>
        <w:rPr>
          <w:i/>
          <w:sz w:val="20"/>
        </w:rPr>
        <w:t>Subject to Section 4.2, from and after the Escrow Release Date, the Investor will be entitled to </w:t>
      </w:r>
      <w:r>
        <w:rPr>
          <w:i/>
          <w:sz w:val="20"/>
        </w:rPr>
        <w:t>designate</w:t>
      </w:r>
      <w:r>
        <w:rPr>
          <w:i/>
          <w:spacing w:val="-11"/>
          <w:sz w:val="20"/>
        </w:rPr>
        <w:t> </w:t>
      </w:r>
      <w:r>
        <w:rPr>
          <w:i/>
          <w:sz w:val="20"/>
        </w:rPr>
        <w:t>that</w:t>
      </w:r>
      <w:r>
        <w:rPr>
          <w:i/>
          <w:spacing w:val="-11"/>
          <w:sz w:val="20"/>
        </w:rPr>
        <w:t> </w:t>
      </w:r>
      <w:r>
        <w:rPr>
          <w:i/>
          <w:sz w:val="20"/>
        </w:rPr>
        <w:t>number</w:t>
      </w:r>
      <w:r>
        <w:rPr>
          <w:i/>
          <w:spacing w:val="-10"/>
          <w:sz w:val="20"/>
        </w:rPr>
        <w:t> </w:t>
      </w:r>
      <w:r>
        <w:rPr>
          <w:i/>
          <w:sz w:val="20"/>
        </w:rPr>
        <w:t>of</w:t>
      </w:r>
      <w:r>
        <w:rPr>
          <w:i/>
          <w:spacing w:val="-12"/>
          <w:sz w:val="20"/>
        </w:rPr>
        <w:t> </w:t>
      </w:r>
      <w:r>
        <w:rPr>
          <w:i/>
          <w:sz w:val="20"/>
        </w:rPr>
        <w:t>nominees</w:t>
      </w:r>
      <w:r>
        <w:rPr>
          <w:i/>
          <w:spacing w:val="-10"/>
          <w:sz w:val="20"/>
        </w:rPr>
        <w:t> </w:t>
      </w:r>
      <w:r>
        <w:rPr>
          <w:i/>
          <w:sz w:val="20"/>
        </w:rPr>
        <w:t>for</w:t>
      </w:r>
      <w:r>
        <w:rPr>
          <w:i/>
          <w:spacing w:val="-10"/>
          <w:sz w:val="20"/>
        </w:rPr>
        <w:t> </w:t>
      </w:r>
      <w:r>
        <w:rPr>
          <w:i/>
          <w:sz w:val="20"/>
        </w:rPr>
        <w:t>election</w:t>
      </w:r>
      <w:r>
        <w:rPr>
          <w:i/>
          <w:spacing w:val="-10"/>
          <w:sz w:val="20"/>
        </w:rPr>
        <w:t> </w:t>
      </w:r>
      <w:r>
        <w:rPr>
          <w:i/>
          <w:sz w:val="20"/>
        </w:rPr>
        <w:t>or</w:t>
      </w:r>
      <w:r>
        <w:rPr>
          <w:i/>
          <w:spacing w:val="-11"/>
          <w:sz w:val="20"/>
        </w:rPr>
        <w:t> </w:t>
      </w:r>
      <w:r>
        <w:rPr>
          <w:i/>
          <w:sz w:val="20"/>
        </w:rPr>
        <w:t>appointment</w:t>
      </w:r>
      <w:r>
        <w:rPr>
          <w:i/>
          <w:spacing w:val="-11"/>
          <w:sz w:val="20"/>
        </w:rPr>
        <w:t> </w:t>
      </w:r>
      <w:r>
        <w:rPr>
          <w:i/>
          <w:sz w:val="20"/>
        </w:rPr>
        <w:t>to</w:t>
      </w:r>
      <w:r>
        <w:rPr>
          <w:i/>
          <w:spacing w:val="-10"/>
          <w:sz w:val="20"/>
        </w:rPr>
        <w:t> </w:t>
      </w:r>
      <w:r>
        <w:rPr>
          <w:i/>
          <w:sz w:val="20"/>
        </w:rPr>
        <w:t>the</w:t>
      </w:r>
      <w:r>
        <w:rPr>
          <w:i/>
          <w:spacing w:val="-11"/>
          <w:sz w:val="20"/>
        </w:rPr>
        <w:t> </w:t>
      </w:r>
      <w:r>
        <w:rPr>
          <w:i/>
          <w:sz w:val="20"/>
        </w:rPr>
        <w:t>Board</w:t>
      </w:r>
      <w:r>
        <w:rPr>
          <w:i/>
          <w:spacing w:val="-10"/>
          <w:sz w:val="20"/>
        </w:rPr>
        <w:t> </w:t>
      </w:r>
      <w:r>
        <w:rPr>
          <w:i/>
          <w:sz w:val="20"/>
        </w:rPr>
        <w:t>of</w:t>
      </w:r>
      <w:r>
        <w:rPr>
          <w:i/>
          <w:spacing w:val="-11"/>
          <w:sz w:val="20"/>
        </w:rPr>
        <w:t> </w:t>
      </w:r>
      <w:r>
        <w:rPr>
          <w:i/>
          <w:sz w:val="20"/>
        </w:rPr>
        <w:t>Directors</w:t>
      </w:r>
      <w:r>
        <w:rPr>
          <w:i/>
          <w:spacing w:val="-10"/>
          <w:sz w:val="20"/>
        </w:rPr>
        <w:t> </w:t>
      </w:r>
      <w:r>
        <w:rPr>
          <w:i/>
          <w:sz w:val="20"/>
        </w:rPr>
        <w:t>from</w:t>
      </w:r>
      <w:r>
        <w:rPr>
          <w:i/>
          <w:spacing w:val="-11"/>
          <w:sz w:val="20"/>
        </w:rPr>
        <w:t> </w:t>
      </w:r>
      <w:r>
        <w:rPr>
          <w:i/>
          <w:sz w:val="20"/>
        </w:rPr>
        <w:t>time to time (the "Investor Nominees") that is equal to the Investor Rights Adjusted Ownership Percentage multiplied by the number of directors of the Company (including the Investor Nominees), rounded down to a whole number, but provided that there is at least one Investor Nominee.”</w:t>
      </w:r>
    </w:p>
    <w:p>
      <w:pPr>
        <w:pStyle w:val="BodyText"/>
        <w:spacing w:before="9"/>
        <w:rPr>
          <w:i/>
        </w:rPr>
      </w:pPr>
    </w:p>
    <w:p>
      <w:pPr>
        <w:pStyle w:val="ListParagraph"/>
        <w:numPr>
          <w:ilvl w:val="0"/>
          <w:numId w:val="1"/>
        </w:numPr>
        <w:tabs>
          <w:tab w:pos="840" w:val="left" w:leader="none"/>
        </w:tabs>
        <w:spacing w:line="360" w:lineRule="auto" w:before="0" w:after="0"/>
        <w:ind w:left="839" w:right="1197" w:hanging="720"/>
        <w:jc w:val="both"/>
        <w:rPr>
          <w:sz w:val="20"/>
        </w:rPr>
      </w:pPr>
      <w:bookmarkStart w:name="19. I verily believe that Section 4.1 of" w:id="45"/>
      <w:bookmarkEnd w:id="45"/>
      <w:r>
        <w:rPr/>
      </w:r>
      <w:bookmarkStart w:name="19. I verily believe that Section 4.1 of" w:id="46"/>
      <w:bookmarkEnd w:id="46"/>
      <w:r>
        <w:rPr>
          <w:sz w:val="20"/>
        </w:rPr>
        <w:t>I</w:t>
      </w:r>
      <w:r>
        <w:rPr>
          <w:sz w:val="20"/>
        </w:rPr>
        <w:t> verily believe that Section 4.1 of the Subscription Agreement gives GSFC the right (the “</w:t>
      </w:r>
      <w:r>
        <w:rPr>
          <w:b/>
          <w:sz w:val="20"/>
        </w:rPr>
        <w:t>GSFC Nomination</w:t>
      </w:r>
      <w:r>
        <w:rPr>
          <w:b/>
          <w:spacing w:val="-16"/>
          <w:sz w:val="20"/>
        </w:rPr>
        <w:t> </w:t>
      </w:r>
      <w:r>
        <w:rPr>
          <w:b/>
          <w:sz w:val="20"/>
        </w:rPr>
        <w:t>Right</w:t>
      </w:r>
      <w:r>
        <w:rPr>
          <w:sz w:val="20"/>
        </w:rPr>
        <w:t>”)</w:t>
      </w:r>
      <w:r>
        <w:rPr>
          <w:spacing w:val="-14"/>
          <w:sz w:val="20"/>
        </w:rPr>
        <w:t> </w:t>
      </w:r>
      <w:r>
        <w:rPr>
          <w:sz w:val="20"/>
        </w:rPr>
        <w:t>to</w:t>
      </w:r>
      <w:r>
        <w:rPr>
          <w:spacing w:val="-15"/>
          <w:sz w:val="20"/>
        </w:rPr>
        <w:t> </w:t>
      </w:r>
      <w:r>
        <w:rPr>
          <w:sz w:val="20"/>
        </w:rPr>
        <w:t>nominate</w:t>
      </w:r>
      <w:r>
        <w:rPr>
          <w:spacing w:val="-14"/>
          <w:sz w:val="20"/>
        </w:rPr>
        <w:t> </w:t>
      </w:r>
      <w:r>
        <w:rPr>
          <w:sz w:val="20"/>
        </w:rPr>
        <w:t>candidate(s)</w:t>
      </w:r>
      <w:r>
        <w:rPr>
          <w:spacing w:val="-14"/>
          <w:sz w:val="20"/>
        </w:rPr>
        <w:t> </w:t>
      </w:r>
      <w:r>
        <w:rPr>
          <w:sz w:val="20"/>
        </w:rPr>
        <w:t>(a</w:t>
      </w:r>
      <w:r>
        <w:rPr>
          <w:spacing w:val="-15"/>
          <w:sz w:val="20"/>
        </w:rPr>
        <w:t> </w:t>
      </w:r>
      <w:r>
        <w:rPr>
          <w:sz w:val="20"/>
        </w:rPr>
        <w:t>“</w:t>
      </w:r>
      <w:r>
        <w:rPr>
          <w:b/>
          <w:sz w:val="20"/>
        </w:rPr>
        <w:t>GSFC</w:t>
      </w:r>
      <w:r>
        <w:rPr>
          <w:b/>
          <w:spacing w:val="-14"/>
          <w:sz w:val="20"/>
        </w:rPr>
        <w:t> </w:t>
      </w:r>
      <w:r>
        <w:rPr>
          <w:b/>
          <w:sz w:val="20"/>
        </w:rPr>
        <w:t>Nominee</w:t>
      </w:r>
      <w:r>
        <w:rPr>
          <w:sz w:val="20"/>
        </w:rPr>
        <w:t>”)</w:t>
      </w:r>
      <w:r>
        <w:rPr>
          <w:spacing w:val="-14"/>
          <w:sz w:val="20"/>
        </w:rPr>
        <w:t> </w:t>
      </w:r>
      <w:r>
        <w:rPr>
          <w:sz w:val="20"/>
        </w:rPr>
        <w:t>to</w:t>
      </w:r>
      <w:r>
        <w:rPr>
          <w:spacing w:val="-14"/>
          <w:sz w:val="20"/>
        </w:rPr>
        <w:t> </w:t>
      </w:r>
      <w:r>
        <w:rPr>
          <w:sz w:val="20"/>
        </w:rPr>
        <w:t>the</w:t>
      </w:r>
      <w:r>
        <w:rPr>
          <w:spacing w:val="-15"/>
          <w:sz w:val="20"/>
        </w:rPr>
        <w:t> </w:t>
      </w:r>
      <w:r>
        <w:rPr>
          <w:sz w:val="20"/>
        </w:rPr>
        <w:t>KRN</w:t>
      </w:r>
      <w:r>
        <w:rPr>
          <w:spacing w:val="-14"/>
          <w:sz w:val="20"/>
        </w:rPr>
        <w:t> </w:t>
      </w:r>
      <w:r>
        <w:rPr>
          <w:sz w:val="20"/>
        </w:rPr>
        <w:t>Board</w:t>
      </w:r>
      <w:r>
        <w:rPr>
          <w:spacing w:val="-15"/>
          <w:sz w:val="20"/>
        </w:rPr>
        <w:t> </w:t>
      </w:r>
      <w:r>
        <w:rPr>
          <w:sz w:val="20"/>
        </w:rPr>
        <w:t>in</w:t>
      </w:r>
      <w:r>
        <w:rPr>
          <w:spacing w:val="-14"/>
          <w:sz w:val="20"/>
        </w:rPr>
        <w:t> </w:t>
      </w:r>
      <w:r>
        <w:rPr>
          <w:sz w:val="20"/>
        </w:rPr>
        <w:t>proportion to its shareholdings, rounded down to the nearest whole</w:t>
      </w:r>
      <w:r>
        <w:rPr>
          <w:spacing w:val="-11"/>
          <w:sz w:val="20"/>
        </w:rPr>
        <w:t> </w:t>
      </w:r>
      <w:r>
        <w:rPr>
          <w:sz w:val="20"/>
        </w:rPr>
        <w:t>number.</w:t>
      </w:r>
    </w:p>
    <w:p>
      <w:pPr>
        <w:pStyle w:val="BodyText"/>
        <w:spacing w:before="10"/>
      </w:pPr>
    </w:p>
    <w:p>
      <w:pPr>
        <w:pStyle w:val="ListParagraph"/>
        <w:numPr>
          <w:ilvl w:val="0"/>
          <w:numId w:val="1"/>
        </w:numPr>
        <w:tabs>
          <w:tab w:pos="840" w:val="left" w:leader="none"/>
        </w:tabs>
        <w:spacing w:line="360" w:lineRule="auto" w:before="0" w:after="0"/>
        <w:ind w:left="839" w:right="1196" w:hanging="721"/>
        <w:jc w:val="both"/>
        <w:rPr>
          <w:sz w:val="20"/>
        </w:rPr>
      </w:pPr>
      <w:bookmarkStart w:name="20. I verily believe that, as a 19.98% s" w:id="47"/>
      <w:bookmarkEnd w:id="47"/>
      <w:r>
        <w:rPr/>
      </w:r>
      <w:bookmarkStart w:name="20. I verily believe that, as a 19.98% s" w:id="48"/>
      <w:bookmarkEnd w:id="48"/>
      <w:r>
        <w:rPr>
          <w:sz w:val="20"/>
        </w:rPr>
        <w:t>I</w:t>
      </w:r>
      <w:r>
        <w:rPr>
          <w:spacing w:val="-8"/>
          <w:sz w:val="20"/>
        </w:rPr>
        <w:t> </w:t>
      </w:r>
      <w:r>
        <w:rPr>
          <w:sz w:val="20"/>
        </w:rPr>
        <w:t>verily</w:t>
      </w:r>
      <w:r>
        <w:rPr>
          <w:spacing w:val="-6"/>
          <w:sz w:val="20"/>
        </w:rPr>
        <w:t> </w:t>
      </w:r>
      <w:r>
        <w:rPr>
          <w:sz w:val="20"/>
        </w:rPr>
        <w:t>believe</w:t>
      </w:r>
      <w:r>
        <w:rPr>
          <w:spacing w:val="-6"/>
          <w:sz w:val="20"/>
        </w:rPr>
        <w:t> </w:t>
      </w:r>
      <w:r>
        <w:rPr>
          <w:sz w:val="20"/>
        </w:rPr>
        <w:t>that,</w:t>
      </w:r>
      <w:r>
        <w:rPr>
          <w:spacing w:val="-7"/>
          <w:sz w:val="20"/>
        </w:rPr>
        <w:t> </w:t>
      </w:r>
      <w:r>
        <w:rPr>
          <w:sz w:val="20"/>
        </w:rPr>
        <w:t>as</w:t>
      </w:r>
      <w:r>
        <w:rPr>
          <w:spacing w:val="-6"/>
          <w:sz w:val="20"/>
        </w:rPr>
        <w:t> </w:t>
      </w:r>
      <w:r>
        <w:rPr>
          <w:sz w:val="20"/>
        </w:rPr>
        <w:t>a</w:t>
      </w:r>
      <w:r>
        <w:rPr>
          <w:spacing w:val="-6"/>
          <w:sz w:val="20"/>
        </w:rPr>
        <w:t> </w:t>
      </w:r>
      <w:r>
        <w:rPr>
          <w:sz w:val="20"/>
        </w:rPr>
        <w:t>19.98%</w:t>
      </w:r>
      <w:r>
        <w:rPr>
          <w:spacing w:val="-8"/>
          <w:sz w:val="20"/>
        </w:rPr>
        <w:t> </w:t>
      </w:r>
      <w:r>
        <w:rPr>
          <w:sz w:val="20"/>
        </w:rPr>
        <w:t>shareholder</w:t>
      </w:r>
      <w:r>
        <w:rPr>
          <w:spacing w:val="-6"/>
          <w:sz w:val="20"/>
        </w:rPr>
        <w:t> </w:t>
      </w:r>
      <w:r>
        <w:rPr>
          <w:sz w:val="20"/>
        </w:rPr>
        <w:t>of</w:t>
      </w:r>
      <w:r>
        <w:rPr>
          <w:spacing w:val="-7"/>
          <w:sz w:val="20"/>
        </w:rPr>
        <w:t> </w:t>
      </w:r>
      <w:r>
        <w:rPr>
          <w:sz w:val="20"/>
        </w:rPr>
        <w:t>KRN,</w:t>
      </w:r>
      <w:r>
        <w:rPr>
          <w:spacing w:val="-7"/>
          <w:sz w:val="20"/>
        </w:rPr>
        <w:t> </w:t>
      </w:r>
      <w:r>
        <w:rPr>
          <w:sz w:val="20"/>
        </w:rPr>
        <w:t>the</w:t>
      </w:r>
      <w:r>
        <w:rPr>
          <w:spacing w:val="-6"/>
          <w:sz w:val="20"/>
        </w:rPr>
        <w:t> </w:t>
      </w:r>
      <w:r>
        <w:rPr>
          <w:sz w:val="20"/>
        </w:rPr>
        <w:t>GSFC</w:t>
      </w:r>
      <w:r>
        <w:rPr>
          <w:spacing w:val="-7"/>
          <w:sz w:val="20"/>
        </w:rPr>
        <w:t> </w:t>
      </w:r>
      <w:r>
        <w:rPr>
          <w:sz w:val="20"/>
        </w:rPr>
        <w:t>Nomination</w:t>
      </w:r>
      <w:r>
        <w:rPr>
          <w:spacing w:val="-7"/>
          <w:sz w:val="20"/>
        </w:rPr>
        <w:t> </w:t>
      </w:r>
      <w:r>
        <w:rPr>
          <w:sz w:val="20"/>
        </w:rPr>
        <w:t>Right</w:t>
      </w:r>
      <w:r>
        <w:rPr>
          <w:spacing w:val="-7"/>
          <w:sz w:val="20"/>
        </w:rPr>
        <w:t> </w:t>
      </w:r>
      <w:r>
        <w:rPr>
          <w:sz w:val="20"/>
        </w:rPr>
        <w:t>gave</w:t>
      </w:r>
      <w:r>
        <w:rPr>
          <w:spacing w:val="-6"/>
          <w:sz w:val="20"/>
        </w:rPr>
        <w:t> </w:t>
      </w:r>
      <w:r>
        <w:rPr>
          <w:sz w:val="20"/>
        </w:rPr>
        <w:t>GSFC</w:t>
      </w:r>
      <w:r>
        <w:rPr>
          <w:spacing w:val="-6"/>
          <w:sz w:val="20"/>
        </w:rPr>
        <w:t> </w:t>
      </w:r>
      <w:r>
        <w:rPr>
          <w:sz w:val="20"/>
        </w:rPr>
        <w:t>the right</w:t>
      </w:r>
      <w:r>
        <w:rPr>
          <w:spacing w:val="-1"/>
          <w:sz w:val="20"/>
        </w:rPr>
        <w:t> </w:t>
      </w:r>
      <w:r>
        <w:rPr>
          <w:sz w:val="20"/>
        </w:rPr>
        <w:t>to:</w:t>
      </w:r>
    </w:p>
    <w:p>
      <w:pPr>
        <w:pStyle w:val="BodyText"/>
        <w:spacing w:before="11"/>
      </w:pPr>
    </w:p>
    <w:p>
      <w:pPr>
        <w:pStyle w:val="ListParagraph"/>
        <w:numPr>
          <w:ilvl w:val="1"/>
          <w:numId w:val="1"/>
        </w:numPr>
        <w:tabs>
          <w:tab w:pos="1559" w:val="left" w:leader="none"/>
          <w:tab w:pos="1560" w:val="left" w:leader="none"/>
        </w:tabs>
        <w:spacing w:line="350" w:lineRule="auto" w:before="0" w:after="0"/>
        <w:ind w:left="1559" w:right="1196" w:hanging="721"/>
        <w:jc w:val="left"/>
        <w:rPr>
          <w:sz w:val="20"/>
        </w:rPr>
      </w:pPr>
      <w:bookmarkStart w:name=" nominate 19.98% of the members of the " w:id="49"/>
      <w:bookmarkEnd w:id="49"/>
      <w:r>
        <w:rPr/>
      </w:r>
      <w:bookmarkStart w:name=" nominate 19.98% of the members of the " w:id="50"/>
      <w:bookmarkEnd w:id="50"/>
      <w:r>
        <w:rPr>
          <w:sz w:val="20"/>
        </w:rPr>
        <w:t>no</w:t>
      </w:r>
      <w:r>
        <w:rPr>
          <w:sz w:val="20"/>
        </w:rPr>
        <w:t>minate 19.98% of the members of the KRN Board, rounded down the nearest whole number;</w:t>
      </w:r>
      <w:r>
        <w:rPr>
          <w:spacing w:val="-1"/>
          <w:sz w:val="20"/>
        </w:rPr>
        <w:t> </w:t>
      </w:r>
      <w:r>
        <w:rPr>
          <w:sz w:val="20"/>
        </w:rPr>
        <w:t>and</w:t>
      </w:r>
    </w:p>
    <w:p>
      <w:pPr>
        <w:pStyle w:val="BodyText"/>
        <w:spacing w:before="8"/>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one (1) director to a KRN Board consisting of six (6)</w:t>
      </w:r>
      <w:r>
        <w:rPr>
          <w:spacing w:val="-14"/>
          <w:sz w:val="20"/>
        </w:rPr>
        <w:t> </w:t>
      </w:r>
      <w:r>
        <w:rPr>
          <w:sz w:val="20"/>
        </w:rPr>
        <w:t>directors.</w:t>
      </w:r>
    </w:p>
    <w:p>
      <w:pPr>
        <w:pStyle w:val="BodyText"/>
        <w:spacing w:before="8"/>
        <w:rPr>
          <w:sz w:val="30"/>
        </w:rPr>
      </w:pPr>
    </w:p>
    <w:p>
      <w:pPr>
        <w:pStyle w:val="Heading1"/>
        <w:ind w:left="120" w:firstLine="0"/>
        <w:rPr>
          <w:u w:val="none"/>
        </w:rPr>
      </w:pPr>
      <w:bookmarkStart w:name="Independence of GSFC Nominees on the KRN" w:id="51"/>
      <w:bookmarkEnd w:id="51"/>
      <w:r>
        <w:rPr>
          <w:b w:val="0"/>
          <w:u w:val="none"/>
        </w:rPr>
      </w:r>
      <w:r>
        <w:rPr>
          <w:u w:val="none"/>
        </w:rPr>
        <w:t>Independence of GSFC Nominees on the KRN Board</w:t>
      </w:r>
    </w:p>
    <w:p>
      <w:pPr>
        <w:pStyle w:val="BodyText"/>
        <w:spacing w:before="10"/>
        <w:rPr>
          <w:b/>
          <w:sz w:val="30"/>
        </w:rPr>
      </w:pPr>
    </w:p>
    <w:p>
      <w:pPr>
        <w:pStyle w:val="ListParagraph"/>
        <w:numPr>
          <w:ilvl w:val="0"/>
          <w:numId w:val="1"/>
        </w:numPr>
        <w:tabs>
          <w:tab w:pos="840" w:val="left" w:leader="none"/>
          <w:tab w:pos="841" w:val="left" w:leader="none"/>
        </w:tabs>
        <w:spacing w:line="240" w:lineRule="auto" w:before="1" w:after="0"/>
        <w:ind w:left="840" w:right="0" w:hanging="721"/>
        <w:jc w:val="left"/>
        <w:rPr>
          <w:sz w:val="20"/>
        </w:rPr>
      </w:pPr>
      <w:bookmarkStart w:name="21. I verily believe that none of the GS" w:id="52"/>
      <w:bookmarkEnd w:id="52"/>
      <w:r>
        <w:rPr/>
      </w:r>
      <w:bookmarkStart w:name="21. I verily believe that none of the GS" w:id="53"/>
      <w:bookmarkEnd w:id="53"/>
      <w:r>
        <w:rPr>
          <w:sz w:val="20"/>
        </w:rPr>
        <w:t>I</w:t>
      </w:r>
      <w:r>
        <w:rPr>
          <w:sz w:val="20"/>
        </w:rPr>
        <w:t> verily believe that none of the GSFC Nominees are</w:t>
      </w:r>
      <w:r>
        <w:rPr>
          <w:spacing w:val="-12"/>
          <w:sz w:val="20"/>
        </w:rPr>
        <w:t> </w:t>
      </w:r>
      <w:r>
        <w:rPr>
          <w:sz w:val="20"/>
        </w:rPr>
        <w:t>independent.</w:t>
      </w:r>
    </w:p>
    <w:p>
      <w:pPr>
        <w:pStyle w:val="BodyText"/>
        <w:spacing w:before="9"/>
        <w:rPr>
          <w:sz w:val="30"/>
        </w:rPr>
      </w:pPr>
    </w:p>
    <w:p>
      <w:pPr>
        <w:pStyle w:val="ListParagraph"/>
        <w:numPr>
          <w:ilvl w:val="0"/>
          <w:numId w:val="1"/>
        </w:numPr>
        <w:tabs>
          <w:tab w:pos="841" w:val="left" w:leader="none"/>
        </w:tabs>
        <w:spacing w:line="360" w:lineRule="auto" w:before="0" w:after="0"/>
        <w:ind w:left="840" w:right="1196" w:hanging="721"/>
        <w:jc w:val="both"/>
        <w:rPr>
          <w:sz w:val="20"/>
        </w:rPr>
      </w:pPr>
      <w:bookmarkStart w:name="22. Nanavaty and Varma are employees of " w:id="54"/>
      <w:bookmarkEnd w:id="54"/>
      <w:r>
        <w:rPr/>
      </w:r>
      <w:bookmarkStart w:name="22. Nanavaty and Varma are employees of " w:id="55"/>
      <w:bookmarkEnd w:id="55"/>
      <w:r>
        <w:rPr>
          <w:sz w:val="20"/>
        </w:rPr>
        <w:t>Na</w:t>
      </w:r>
      <w:r>
        <w:rPr>
          <w:sz w:val="20"/>
        </w:rPr>
        <w:t>navaty and Varma are employees of GSFC, and Anjaria was a director of GSFC for at least 10 years before he retired in September 2020. Attached and marked as </w:t>
      </w:r>
      <w:r>
        <w:rPr>
          <w:b/>
          <w:sz w:val="20"/>
        </w:rPr>
        <w:t>Exhibit “L” </w:t>
      </w:r>
      <w:r>
        <w:rPr>
          <w:sz w:val="20"/>
        </w:rPr>
        <w:t>to the FDW Affidavit is a copy of GSFC’s notice of October 1,</w:t>
      </w:r>
      <w:r>
        <w:rPr>
          <w:spacing w:val="-10"/>
          <w:sz w:val="20"/>
        </w:rPr>
        <w:t> </w:t>
      </w:r>
      <w:r>
        <w:rPr>
          <w:sz w:val="20"/>
        </w:rPr>
        <w:t>2020.</w:t>
      </w:r>
    </w:p>
    <w:p>
      <w:pPr>
        <w:spacing w:after="0" w:line="360" w:lineRule="auto"/>
        <w:jc w:val="both"/>
        <w:rPr>
          <w:sz w:val="20"/>
        </w:rPr>
        <w:sectPr>
          <w:pgSz w:w="12240" w:h="15840"/>
          <w:pgMar w:header="0" w:footer="971" w:top="1220" w:bottom="1160" w:left="1320" w:right="240"/>
        </w:sectPr>
      </w:pPr>
    </w:p>
    <w:p>
      <w:pPr>
        <w:pStyle w:val="ListParagraph"/>
        <w:numPr>
          <w:ilvl w:val="0"/>
          <w:numId w:val="1"/>
        </w:numPr>
        <w:tabs>
          <w:tab w:pos="841" w:val="left" w:leader="none"/>
        </w:tabs>
        <w:spacing w:line="360" w:lineRule="auto" w:before="75" w:after="0"/>
        <w:ind w:left="840" w:right="1196" w:hanging="721"/>
        <w:jc w:val="both"/>
        <w:rPr>
          <w:sz w:val="20"/>
        </w:rPr>
      </w:pPr>
      <w:r>
        <w:rPr>
          <w:sz w:val="20"/>
        </w:rPr>
        <w:t>I verily believe that being an employee of a major shareholder is a material relationship. I also verily believe that an employee is going to do what is in the best interests of his employer, as his primary responsibility and duty is to his employer. I verily believe that it is impossible for an employee of a major shareholder to choose to act in the best interests of all shareholders, rather than in the best interests of his</w:t>
      </w:r>
      <w:r>
        <w:rPr>
          <w:spacing w:val="-8"/>
          <w:sz w:val="20"/>
        </w:rPr>
        <w:t> </w:t>
      </w:r>
      <w:r>
        <w:rPr>
          <w:sz w:val="20"/>
        </w:rPr>
        <w:t>employer.</w:t>
      </w:r>
    </w:p>
    <w:p>
      <w:pPr>
        <w:pStyle w:val="BodyText"/>
        <w:spacing w:before="10"/>
      </w:pPr>
    </w:p>
    <w:p>
      <w:pPr>
        <w:pStyle w:val="ListParagraph"/>
        <w:numPr>
          <w:ilvl w:val="0"/>
          <w:numId w:val="1"/>
        </w:numPr>
        <w:tabs>
          <w:tab w:pos="841" w:val="left" w:leader="none"/>
        </w:tabs>
        <w:spacing w:line="360" w:lineRule="auto" w:before="0" w:after="0"/>
        <w:ind w:left="840" w:right="1197" w:hanging="721"/>
        <w:jc w:val="both"/>
        <w:rPr>
          <w:sz w:val="20"/>
        </w:rPr>
      </w:pPr>
      <w:r>
        <w:rPr>
          <w:sz w:val="20"/>
        </w:rPr>
        <w:t>I verily believe that Section 311 of the TSX Rules states that a director who is nominated by someone who is a 10% shareholder, is not independent. Attached and marked as </w:t>
      </w:r>
      <w:r>
        <w:rPr>
          <w:b/>
          <w:sz w:val="20"/>
        </w:rPr>
        <w:t>Exhibit “M” </w:t>
      </w:r>
      <w:r>
        <w:rPr>
          <w:sz w:val="20"/>
        </w:rPr>
        <w:t>to the FDW Affidavit is a copy of Section 311 of the TSX Company</w:t>
      </w:r>
      <w:r>
        <w:rPr>
          <w:spacing w:val="-14"/>
          <w:sz w:val="20"/>
        </w:rPr>
        <w:t> </w:t>
      </w:r>
      <w:r>
        <w:rPr>
          <w:sz w:val="20"/>
        </w:rPr>
        <w:t>Manual.</w:t>
      </w:r>
    </w:p>
    <w:p>
      <w:pPr>
        <w:pStyle w:val="BodyText"/>
        <w:spacing w:before="11"/>
      </w:pPr>
    </w:p>
    <w:p>
      <w:pPr>
        <w:pStyle w:val="ListParagraph"/>
        <w:numPr>
          <w:ilvl w:val="0"/>
          <w:numId w:val="1"/>
        </w:numPr>
        <w:tabs>
          <w:tab w:pos="840" w:val="left" w:leader="none"/>
        </w:tabs>
        <w:spacing w:line="360" w:lineRule="auto" w:before="0" w:after="0"/>
        <w:ind w:left="839" w:right="1196" w:hanging="721"/>
        <w:jc w:val="both"/>
        <w:rPr>
          <w:sz w:val="20"/>
        </w:rPr>
      </w:pPr>
      <w:r>
        <w:rPr>
          <w:sz w:val="20"/>
        </w:rPr>
        <w:t>I verily believe that Nanavaty, Varma and Anjaria are all nominated by GSFC. GSFC owns more than</w:t>
      </w:r>
      <w:r>
        <w:rPr>
          <w:spacing w:val="-7"/>
          <w:sz w:val="20"/>
        </w:rPr>
        <w:t> </w:t>
      </w:r>
      <w:r>
        <w:rPr>
          <w:sz w:val="20"/>
        </w:rPr>
        <w:t>10%</w:t>
      </w:r>
      <w:r>
        <w:rPr>
          <w:spacing w:val="-6"/>
          <w:sz w:val="20"/>
        </w:rPr>
        <w:t> </w:t>
      </w:r>
      <w:r>
        <w:rPr>
          <w:sz w:val="20"/>
        </w:rPr>
        <w:t>of</w:t>
      </w:r>
      <w:r>
        <w:rPr>
          <w:spacing w:val="-8"/>
          <w:sz w:val="20"/>
        </w:rPr>
        <w:t> </w:t>
      </w:r>
      <w:r>
        <w:rPr>
          <w:sz w:val="20"/>
        </w:rPr>
        <w:t>the</w:t>
      </w:r>
      <w:r>
        <w:rPr>
          <w:spacing w:val="-6"/>
          <w:sz w:val="20"/>
        </w:rPr>
        <w:t> </w:t>
      </w:r>
      <w:r>
        <w:rPr>
          <w:sz w:val="20"/>
        </w:rPr>
        <w:t>shares</w:t>
      </w:r>
      <w:r>
        <w:rPr>
          <w:spacing w:val="-7"/>
          <w:sz w:val="20"/>
        </w:rPr>
        <w:t> </w:t>
      </w:r>
      <w:r>
        <w:rPr>
          <w:sz w:val="20"/>
        </w:rPr>
        <w:t>of</w:t>
      </w:r>
      <w:r>
        <w:rPr>
          <w:spacing w:val="-8"/>
          <w:sz w:val="20"/>
        </w:rPr>
        <w:t> </w:t>
      </w:r>
      <w:r>
        <w:rPr>
          <w:sz w:val="20"/>
        </w:rPr>
        <w:t>KRN,</w:t>
      </w:r>
      <w:r>
        <w:rPr>
          <w:spacing w:val="-7"/>
          <w:sz w:val="20"/>
        </w:rPr>
        <w:t> </w:t>
      </w:r>
      <w:r>
        <w:rPr>
          <w:sz w:val="20"/>
        </w:rPr>
        <w:t>therefore</w:t>
      </w:r>
      <w:r>
        <w:rPr>
          <w:spacing w:val="-7"/>
          <w:sz w:val="20"/>
        </w:rPr>
        <w:t> </w:t>
      </w:r>
      <w:r>
        <w:rPr>
          <w:sz w:val="20"/>
        </w:rPr>
        <w:t>I</w:t>
      </w:r>
      <w:r>
        <w:rPr>
          <w:spacing w:val="-7"/>
          <w:sz w:val="20"/>
        </w:rPr>
        <w:t> </w:t>
      </w:r>
      <w:r>
        <w:rPr>
          <w:sz w:val="20"/>
        </w:rPr>
        <w:t>verily</w:t>
      </w:r>
      <w:r>
        <w:rPr>
          <w:spacing w:val="-6"/>
          <w:sz w:val="20"/>
        </w:rPr>
        <w:t> </w:t>
      </w:r>
      <w:r>
        <w:rPr>
          <w:sz w:val="20"/>
        </w:rPr>
        <w:t>believe</w:t>
      </w:r>
      <w:r>
        <w:rPr>
          <w:spacing w:val="-7"/>
          <w:sz w:val="20"/>
        </w:rPr>
        <w:t> </w:t>
      </w:r>
      <w:r>
        <w:rPr>
          <w:sz w:val="20"/>
        </w:rPr>
        <w:t>that</w:t>
      </w:r>
      <w:r>
        <w:rPr>
          <w:spacing w:val="-8"/>
          <w:sz w:val="20"/>
        </w:rPr>
        <w:t> </w:t>
      </w:r>
      <w:r>
        <w:rPr>
          <w:sz w:val="20"/>
        </w:rPr>
        <w:t>Nanavaty,</w:t>
      </w:r>
      <w:r>
        <w:rPr>
          <w:spacing w:val="-7"/>
          <w:sz w:val="20"/>
        </w:rPr>
        <w:t> </w:t>
      </w:r>
      <w:r>
        <w:rPr>
          <w:sz w:val="20"/>
        </w:rPr>
        <w:t>Varma</w:t>
      </w:r>
      <w:r>
        <w:rPr>
          <w:spacing w:val="-9"/>
          <w:sz w:val="20"/>
        </w:rPr>
        <w:t> </w:t>
      </w:r>
      <w:r>
        <w:rPr>
          <w:sz w:val="20"/>
        </w:rPr>
        <w:t>and</w:t>
      </w:r>
      <w:r>
        <w:rPr>
          <w:spacing w:val="-6"/>
          <w:sz w:val="20"/>
        </w:rPr>
        <w:t> </w:t>
      </w:r>
      <w:r>
        <w:rPr>
          <w:sz w:val="20"/>
        </w:rPr>
        <w:t>Anjaria</w:t>
      </w:r>
      <w:r>
        <w:rPr>
          <w:spacing w:val="-7"/>
          <w:sz w:val="20"/>
        </w:rPr>
        <w:t> </w:t>
      </w:r>
      <w:r>
        <w:rPr>
          <w:sz w:val="20"/>
        </w:rPr>
        <w:t>are</w:t>
      </w:r>
      <w:r>
        <w:rPr>
          <w:spacing w:val="-6"/>
          <w:sz w:val="20"/>
        </w:rPr>
        <w:t> </w:t>
      </w:r>
      <w:r>
        <w:rPr>
          <w:sz w:val="20"/>
        </w:rPr>
        <w:t>not independent according to the TSX</w:t>
      </w:r>
      <w:r>
        <w:rPr>
          <w:spacing w:val="-6"/>
          <w:sz w:val="20"/>
        </w:rPr>
        <w:t> </w:t>
      </w:r>
      <w:r>
        <w:rPr>
          <w:sz w:val="20"/>
        </w:rPr>
        <w:t>Rules.</w:t>
      </w:r>
    </w:p>
    <w:p>
      <w:pPr>
        <w:pStyle w:val="BodyText"/>
        <w:spacing w:before="10"/>
      </w:pPr>
    </w:p>
    <w:p>
      <w:pPr>
        <w:pStyle w:val="ListParagraph"/>
        <w:numPr>
          <w:ilvl w:val="0"/>
          <w:numId w:val="1"/>
        </w:numPr>
        <w:tabs>
          <w:tab w:pos="841" w:val="left" w:leader="none"/>
        </w:tabs>
        <w:spacing w:line="360" w:lineRule="auto" w:before="0" w:after="0"/>
        <w:ind w:left="839" w:right="1196" w:hanging="720"/>
        <w:jc w:val="both"/>
        <w:rPr>
          <w:sz w:val="20"/>
        </w:rPr>
      </w:pPr>
      <w:r>
        <w:rPr>
          <w:sz w:val="20"/>
        </w:rPr>
        <w:t>I am informed by Todd Rowan (“</w:t>
      </w:r>
      <w:r>
        <w:rPr>
          <w:b/>
          <w:sz w:val="20"/>
        </w:rPr>
        <w:t>Rowan</w:t>
      </w:r>
      <w:r>
        <w:rPr>
          <w:sz w:val="20"/>
        </w:rPr>
        <w:t>”), a former director, Interim CEO and consultant to KRN, and by Frank Wheatley (“</w:t>
      </w:r>
      <w:r>
        <w:rPr>
          <w:b/>
          <w:sz w:val="20"/>
        </w:rPr>
        <w:t>Wheatley</w:t>
      </w:r>
      <w:r>
        <w:rPr>
          <w:sz w:val="20"/>
        </w:rPr>
        <w:t>”), the former President and CEO of KRN, and verily believe, that on more than one occasion, Varma and Nanavaty has to consult with and seek instructions from their boss, the GSFC MD, on matters in front of the KRN Board for consideration. I verily believe that if the GSFC Nominees have to consult with, and seek instructions from, their boss as how to decide on matters relating to the business and affairs of KRN, then they are not exercising “</w:t>
      </w:r>
      <w:r>
        <w:rPr>
          <w:i/>
          <w:sz w:val="20"/>
        </w:rPr>
        <w:t>independent</w:t>
      </w:r>
      <w:r>
        <w:rPr>
          <w:i/>
          <w:spacing w:val="-4"/>
          <w:sz w:val="20"/>
        </w:rPr>
        <w:t> </w:t>
      </w:r>
      <w:r>
        <w:rPr>
          <w:i/>
          <w:sz w:val="20"/>
        </w:rPr>
        <w:t>judgement</w:t>
      </w:r>
      <w:r>
        <w:rPr>
          <w:sz w:val="20"/>
        </w:rPr>
        <w:t>”.</w:t>
      </w:r>
    </w:p>
    <w:p>
      <w:pPr>
        <w:pStyle w:val="BodyText"/>
        <w:spacing w:before="11"/>
      </w:pPr>
    </w:p>
    <w:p>
      <w:pPr>
        <w:pStyle w:val="ListParagraph"/>
        <w:numPr>
          <w:ilvl w:val="0"/>
          <w:numId w:val="1"/>
        </w:numPr>
        <w:tabs>
          <w:tab w:pos="840" w:val="left" w:leader="none"/>
        </w:tabs>
        <w:spacing w:line="360" w:lineRule="auto" w:before="0" w:after="0"/>
        <w:ind w:left="839" w:right="1197" w:hanging="720"/>
        <w:jc w:val="both"/>
        <w:rPr>
          <w:sz w:val="20"/>
        </w:rPr>
      </w:pPr>
      <w:r>
        <w:rPr>
          <w:sz w:val="20"/>
        </w:rPr>
        <w:t>I am informed by Rowan, and verily believe, that in February 2019, the GSFC MD, who was not even</w:t>
      </w:r>
      <w:r>
        <w:rPr>
          <w:spacing w:val="-6"/>
          <w:sz w:val="20"/>
        </w:rPr>
        <w:t> </w:t>
      </w:r>
      <w:r>
        <w:rPr>
          <w:sz w:val="20"/>
        </w:rPr>
        <w:t>a</w:t>
      </w:r>
      <w:r>
        <w:rPr>
          <w:spacing w:val="-5"/>
          <w:sz w:val="20"/>
        </w:rPr>
        <w:t> </w:t>
      </w:r>
      <w:r>
        <w:rPr>
          <w:sz w:val="20"/>
        </w:rPr>
        <w:t>member</w:t>
      </w:r>
      <w:r>
        <w:rPr>
          <w:spacing w:val="-5"/>
          <w:sz w:val="20"/>
        </w:rPr>
        <w:t> </w:t>
      </w:r>
      <w:r>
        <w:rPr>
          <w:sz w:val="20"/>
        </w:rPr>
        <w:t>of</w:t>
      </w:r>
      <w:r>
        <w:rPr>
          <w:spacing w:val="-6"/>
          <w:sz w:val="20"/>
        </w:rPr>
        <w:t> </w:t>
      </w:r>
      <w:r>
        <w:rPr>
          <w:sz w:val="20"/>
        </w:rPr>
        <w:t>the</w:t>
      </w:r>
      <w:r>
        <w:rPr>
          <w:spacing w:val="-6"/>
          <w:sz w:val="20"/>
        </w:rPr>
        <w:t> </w:t>
      </w:r>
      <w:r>
        <w:rPr>
          <w:sz w:val="20"/>
        </w:rPr>
        <w:t>KRN</w:t>
      </w:r>
      <w:r>
        <w:rPr>
          <w:spacing w:val="-6"/>
          <w:sz w:val="20"/>
        </w:rPr>
        <w:t> </w:t>
      </w:r>
      <w:r>
        <w:rPr>
          <w:sz w:val="20"/>
        </w:rPr>
        <w:t>Board,</w:t>
      </w:r>
      <w:r>
        <w:rPr>
          <w:spacing w:val="-6"/>
          <w:sz w:val="20"/>
        </w:rPr>
        <w:t> </w:t>
      </w:r>
      <w:r>
        <w:rPr>
          <w:sz w:val="20"/>
        </w:rPr>
        <w:t>was</w:t>
      </w:r>
      <w:r>
        <w:rPr>
          <w:spacing w:val="-5"/>
          <w:sz w:val="20"/>
        </w:rPr>
        <w:t> </w:t>
      </w:r>
      <w:r>
        <w:rPr>
          <w:sz w:val="20"/>
        </w:rPr>
        <w:t>actively</w:t>
      </w:r>
      <w:r>
        <w:rPr>
          <w:spacing w:val="-6"/>
          <w:sz w:val="20"/>
        </w:rPr>
        <w:t> </w:t>
      </w:r>
      <w:r>
        <w:rPr>
          <w:sz w:val="20"/>
        </w:rPr>
        <w:t>involved</w:t>
      </w:r>
      <w:r>
        <w:rPr>
          <w:spacing w:val="-5"/>
          <w:sz w:val="20"/>
        </w:rPr>
        <w:t> </w:t>
      </w:r>
      <w:r>
        <w:rPr>
          <w:sz w:val="20"/>
        </w:rPr>
        <w:t>in</w:t>
      </w:r>
      <w:r>
        <w:rPr>
          <w:spacing w:val="-5"/>
          <w:sz w:val="20"/>
        </w:rPr>
        <w:t> </w:t>
      </w:r>
      <w:r>
        <w:rPr>
          <w:sz w:val="20"/>
        </w:rPr>
        <w:t>negotiating</w:t>
      </w:r>
      <w:r>
        <w:rPr>
          <w:spacing w:val="-5"/>
          <w:sz w:val="20"/>
        </w:rPr>
        <w:t> </w:t>
      </w:r>
      <w:r>
        <w:rPr>
          <w:sz w:val="20"/>
        </w:rPr>
        <w:t>the</w:t>
      </w:r>
      <w:r>
        <w:rPr>
          <w:spacing w:val="-6"/>
          <w:sz w:val="20"/>
        </w:rPr>
        <w:t> </w:t>
      </w:r>
      <w:r>
        <w:rPr>
          <w:sz w:val="20"/>
        </w:rPr>
        <w:t>terms</w:t>
      </w:r>
      <w:r>
        <w:rPr>
          <w:spacing w:val="-6"/>
          <w:sz w:val="20"/>
        </w:rPr>
        <w:t> </w:t>
      </w:r>
      <w:r>
        <w:rPr>
          <w:sz w:val="20"/>
        </w:rPr>
        <w:t>and</w:t>
      </w:r>
      <w:r>
        <w:rPr>
          <w:spacing w:val="-5"/>
          <w:sz w:val="20"/>
        </w:rPr>
        <w:t> </w:t>
      </w:r>
      <w:r>
        <w:rPr>
          <w:sz w:val="20"/>
        </w:rPr>
        <w:t>conditions</w:t>
      </w:r>
      <w:r>
        <w:rPr>
          <w:spacing w:val="-5"/>
          <w:sz w:val="20"/>
        </w:rPr>
        <w:t> </w:t>
      </w:r>
      <w:r>
        <w:rPr>
          <w:sz w:val="20"/>
        </w:rPr>
        <w:t>of hiring Wheatley as the CEO of KRN and was requesting to sign the term sheet. I verily believe that:</w:t>
      </w:r>
    </w:p>
    <w:p>
      <w:pPr>
        <w:pStyle w:val="BodyText"/>
        <w:spacing w:before="10"/>
      </w:pPr>
    </w:p>
    <w:p>
      <w:pPr>
        <w:pStyle w:val="ListParagraph"/>
        <w:numPr>
          <w:ilvl w:val="1"/>
          <w:numId w:val="1"/>
        </w:numPr>
        <w:tabs>
          <w:tab w:pos="1558" w:val="left" w:leader="none"/>
          <w:tab w:pos="1560" w:val="left" w:leader="none"/>
        </w:tabs>
        <w:spacing w:line="350" w:lineRule="auto" w:before="0" w:after="0"/>
        <w:ind w:left="1559" w:right="1199" w:hanging="721"/>
        <w:jc w:val="left"/>
        <w:rPr>
          <w:sz w:val="20"/>
        </w:rPr>
      </w:pPr>
      <w:r>
        <w:rPr>
          <w:sz w:val="20"/>
        </w:rPr>
        <w:t>this action by the GSFC MD absolutely confirms that, in my view, Varma and Nanavaty cannot under any circumstances be considered to be independent;</w:t>
      </w:r>
      <w:r>
        <w:rPr>
          <w:spacing w:val="-14"/>
          <w:sz w:val="20"/>
        </w:rPr>
        <w:t> </w:t>
      </w:r>
      <w:r>
        <w:rPr>
          <w:sz w:val="20"/>
        </w:rPr>
        <w:t>and</w:t>
      </w:r>
    </w:p>
    <w:p>
      <w:pPr>
        <w:pStyle w:val="BodyText"/>
        <w:spacing w:before="10"/>
      </w:pPr>
    </w:p>
    <w:p>
      <w:pPr>
        <w:pStyle w:val="ListParagraph"/>
        <w:numPr>
          <w:ilvl w:val="1"/>
          <w:numId w:val="1"/>
        </w:numPr>
        <w:tabs>
          <w:tab w:pos="1558" w:val="left" w:leader="none"/>
          <w:tab w:pos="1560" w:val="left" w:leader="none"/>
        </w:tabs>
        <w:spacing w:line="350" w:lineRule="auto" w:before="1" w:after="0"/>
        <w:ind w:left="1559" w:right="1198" w:hanging="721"/>
        <w:jc w:val="left"/>
        <w:rPr>
          <w:sz w:val="20"/>
        </w:rPr>
      </w:pPr>
      <w:r>
        <w:rPr>
          <w:sz w:val="20"/>
        </w:rPr>
        <w:t>is further evidence that they are being totally dishonest and disingenuous in even suggesting that they are</w:t>
      </w:r>
      <w:r>
        <w:rPr>
          <w:spacing w:val="-4"/>
          <w:sz w:val="20"/>
        </w:rPr>
        <w:t> </w:t>
      </w:r>
      <w:r>
        <w:rPr>
          <w:sz w:val="20"/>
        </w:rPr>
        <w:t>independent.</w:t>
      </w:r>
    </w:p>
    <w:p>
      <w:pPr>
        <w:pStyle w:val="BodyText"/>
        <w:spacing w:before="7"/>
        <w:rPr>
          <w:sz w:val="21"/>
        </w:rPr>
      </w:pPr>
    </w:p>
    <w:p>
      <w:pPr>
        <w:pStyle w:val="ListParagraph"/>
        <w:numPr>
          <w:ilvl w:val="0"/>
          <w:numId w:val="1"/>
        </w:numPr>
        <w:tabs>
          <w:tab w:pos="840" w:val="left" w:leader="none"/>
        </w:tabs>
        <w:spacing w:line="360" w:lineRule="auto" w:before="0" w:after="0"/>
        <w:ind w:left="838" w:right="1198" w:hanging="720"/>
        <w:jc w:val="both"/>
        <w:rPr>
          <w:sz w:val="20"/>
        </w:rPr>
      </w:pPr>
      <w:r>
        <w:rPr>
          <w:sz w:val="20"/>
        </w:rPr>
        <w:t>I am advised by Rowan and Wheatley, and verily believe, that in August 2019, after Anjaria was nominated by GSFC and appointed to the KRN Board, the TSX wrote to KRN stating that, in their view, neither Nanavaty, nor Varma, were independent because they were employees of GSFC. The TSX also questioned how Anjaria could be independent, given he was a director of</w:t>
      </w:r>
      <w:r>
        <w:rPr>
          <w:spacing w:val="-31"/>
          <w:sz w:val="20"/>
        </w:rPr>
        <w:t> </w:t>
      </w:r>
      <w:r>
        <w:rPr>
          <w:sz w:val="20"/>
        </w:rPr>
        <w:t>GSFC.</w:t>
      </w:r>
    </w:p>
    <w:p>
      <w:pPr>
        <w:spacing w:after="0" w:line="360" w:lineRule="auto"/>
        <w:jc w:val="both"/>
        <w:rPr>
          <w:sz w:val="20"/>
        </w:rPr>
        <w:sectPr>
          <w:pgSz w:w="12240" w:h="15840"/>
          <w:pgMar w:header="0" w:footer="971" w:top="1220" w:bottom="1160" w:left="1320" w:right="240"/>
        </w:sectPr>
      </w:pPr>
    </w:p>
    <w:p>
      <w:pPr>
        <w:pStyle w:val="ListParagraph"/>
        <w:numPr>
          <w:ilvl w:val="0"/>
          <w:numId w:val="1"/>
        </w:numPr>
        <w:tabs>
          <w:tab w:pos="841" w:val="left" w:leader="none"/>
        </w:tabs>
        <w:spacing w:line="360" w:lineRule="auto" w:before="75" w:after="0"/>
        <w:ind w:left="840" w:right="1196" w:hanging="721"/>
        <w:jc w:val="both"/>
        <w:rPr>
          <w:sz w:val="20"/>
        </w:rPr>
      </w:pPr>
      <w:r>
        <w:rPr>
          <w:sz w:val="20"/>
        </w:rPr>
        <w:t>I verily believe that the actions of Nanavaty, Varma and Anjaria, detailed below, demonstrate that they were not exercising independent judgement and were not acting in the best interests of all shareholders, but rather, were acting in the best interests of</w:t>
      </w:r>
      <w:r>
        <w:rPr>
          <w:spacing w:val="-14"/>
          <w:sz w:val="20"/>
        </w:rPr>
        <w:t> </w:t>
      </w:r>
      <w:r>
        <w:rPr>
          <w:sz w:val="20"/>
        </w:rPr>
        <w:t>GSFC.</w:t>
      </w:r>
    </w:p>
    <w:p>
      <w:pPr>
        <w:pStyle w:val="BodyText"/>
        <w:spacing w:before="10"/>
      </w:pPr>
    </w:p>
    <w:p>
      <w:pPr>
        <w:pStyle w:val="Heading1"/>
        <w:ind w:left="119" w:firstLine="0"/>
        <w:rPr>
          <w:u w:val="none"/>
        </w:rPr>
      </w:pPr>
      <w:bookmarkStart w:name="History of GSFC Nominees on the KRN Boar" w:id="56"/>
      <w:bookmarkEnd w:id="56"/>
      <w:r>
        <w:rPr>
          <w:b w:val="0"/>
          <w:u w:val="none"/>
        </w:rPr>
      </w:r>
      <w:r>
        <w:rPr>
          <w:u w:val="none"/>
        </w:rPr>
        <w:t>History of GSFC Nominees on the KRN Board</w:t>
      </w:r>
    </w:p>
    <w:p>
      <w:pPr>
        <w:pStyle w:val="BodyText"/>
        <w:spacing w:before="10"/>
        <w:rPr>
          <w:b/>
          <w:sz w:val="30"/>
        </w:rPr>
      </w:pPr>
    </w:p>
    <w:p>
      <w:pPr>
        <w:pStyle w:val="ListParagraph"/>
        <w:numPr>
          <w:ilvl w:val="0"/>
          <w:numId w:val="1"/>
        </w:numPr>
        <w:tabs>
          <w:tab w:pos="840" w:val="left" w:leader="none"/>
        </w:tabs>
        <w:spacing w:line="360" w:lineRule="auto" w:before="1" w:after="0"/>
        <w:ind w:left="839" w:right="1196" w:hanging="720"/>
        <w:jc w:val="both"/>
        <w:rPr>
          <w:sz w:val="20"/>
        </w:rPr>
      </w:pPr>
      <w:bookmarkStart w:name="30. When I was elected to the KRN Board " w:id="57"/>
      <w:bookmarkEnd w:id="57"/>
      <w:r>
        <w:rPr/>
      </w:r>
      <w:bookmarkStart w:name="30. When I was elected to the KRN Board " w:id="58"/>
      <w:bookmarkEnd w:id="58"/>
      <w:r>
        <w:rPr>
          <w:sz w:val="20"/>
        </w:rPr>
        <w:t>W</w:t>
      </w:r>
      <w:r>
        <w:rPr>
          <w:sz w:val="20"/>
        </w:rPr>
        <w:t>hen</w:t>
      </w:r>
      <w:r>
        <w:rPr>
          <w:spacing w:val="-14"/>
          <w:sz w:val="20"/>
        </w:rPr>
        <w:t> </w:t>
      </w:r>
      <w:r>
        <w:rPr>
          <w:sz w:val="20"/>
        </w:rPr>
        <w:t>I</w:t>
      </w:r>
      <w:r>
        <w:rPr>
          <w:spacing w:val="-14"/>
          <w:sz w:val="20"/>
        </w:rPr>
        <w:t> </w:t>
      </w:r>
      <w:r>
        <w:rPr>
          <w:sz w:val="20"/>
        </w:rPr>
        <w:t>was</w:t>
      </w:r>
      <w:r>
        <w:rPr>
          <w:spacing w:val="-13"/>
          <w:sz w:val="20"/>
        </w:rPr>
        <w:t> </w:t>
      </w:r>
      <w:r>
        <w:rPr>
          <w:sz w:val="20"/>
        </w:rPr>
        <w:t>elected</w:t>
      </w:r>
      <w:r>
        <w:rPr>
          <w:spacing w:val="-14"/>
          <w:sz w:val="20"/>
        </w:rPr>
        <w:t> </w:t>
      </w:r>
      <w:r>
        <w:rPr>
          <w:sz w:val="20"/>
        </w:rPr>
        <w:t>to</w:t>
      </w:r>
      <w:r>
        <w:rPr>
          <w:spacing w:val="-14"/>
          <w:sz w:val="20"/>
        </w:rPr>
        <w:t> </w:t>
      </w:r>
      <w:r>
        <w:rPr>
          <w:sz w:val="20"/>
        </w:rPr>
        <w:t>the</w:t>
      </w:r>
      <w:r>
        <w:rPr>
          <w:spacing w:val="-13"/>
          <w:sz w:val="20"/>
        </w:rPr>
        <w:t> </w:t>
      </w:r>
      <w:r>
        <w:rPr>
          <w:sz w:val="20"/>
        </w:rPr>
        <w:t>KRN</w:t>
      </w:r>
      <w:r>
        <w:rPr>
          <w:spacing w:val="-13"/>
          <w:sz w:val="20"/>
        </w:rPr>
        <w:t> </w:t>
      </w:r>
      <w:r>
        <w:rPr>
          <w:sz w:val="20"/>
        </w:rPr>
        <w:t>Board</w:t>
      </w:r>
      <w:r>
        <w:rPr>
          <w:spacing w:val="-14"/>
          <w:sz w:val="20"/>
        </w:rPr>
        <w:t> </w:t>
      </w:r>
      <w:r>
        <w:rPr>
          <w:sz w:val="20"/>
        </w:rPr>
        <w:t>at</w:t>
      </w:r>
      <w:r>
        <w:rPr>
          <w:spacing w:val="-14"/>
          <w:sz w:val="20"/>
        </w:rPr>
        <w:t> </w:t>
      </w:r>
      <w:r>
        <w:rPr>
          <w:sz w:val="20"/>
        </w:rPr>
        <w:t>the</w:t>
      </w:r>
      <w:r>
        <w:rPr>
          <w:spacing w:val="-14"/>
          <w:sz w:val="20"/>
        </w:rPr>
        <w:t> </w:t>
      </w:r>
      <w:r>
        <w:rPr>
          <w:sz w:val="20"/>
        </w:rPr>
        <w:t>2017</w:t>
      </w:r>
      <w:r>
        <w:rPr>
          <w:spacing w:val="-13"/>
          <w:sz w:val="20"/>
        </w:rPr>
        <w:t> </w:t>
      </w:r>
      <w:r>
        <w:rPr>
          <w:sz w:val="20"/>
        </w:rPr>
        <w:t>AGM,</w:t>
      </w:r>
      <w:r>
        <w:rPr>
          <w:spacing w:val="-14"/>
          <w:sz w:val="20"/>
        </w:rPr>
        <w:t> </w:t>
      </w:r>
      <w:r>
        <w:rPr>
          <w:sz w:val="20"/>
        </w:rPr>
        <w:t>the</w:t>
      </w:r>
      <w:r>
        <w:rPr>
          <w:spacing w:val="-14"/>
          <w:sz w:val="20"/>
        </w:rPr>
        <w:t> </w:t>
      </w:r>
      <w:r>
        <w:rPr>
          <w:sz w:val="20"/>
        </w:rPr>
        <w:t>KRN</w:t>
      </w:r>
      <w:r>
        <w:rPr>
          <w:spacing w:val="-13"/>
          <w:sz w:val="20"/>
        </w:rPr>
        <w:t> </w:t>
      </w:r>
      <w:r>
        <w:rPr>
          <w:sz w:val="20"/>
        </w:rPr>
        <w:t>Board</w:t>
      </w:r>
      <w:r>
        <w:rPr>
          <w:spacing w:val="-14"/>
          <w:sz w:val="20"/>
        </w:rPr>
        <w:t> </w:t>
      </w:r>
      <w:r>
        <w:rPr>
          <w:sz w:val="20"/>
        </w:rPr>
        <w:t>comprised</w:t>
      </w:r>
      <w:r>
        <w:rPr>
          <w:spacing w:val="-13"/>
          <w:sz w:val="20"/>
        </w:rPr>
        <w:t> </w:t>
      </w:r>
      <w:r>
        <w:rPr>
          <w:sz w:val="20"/>
        </w:rPr>
        <w:t>six</w:t>
      </w:r>
      <w:r>
        <w:rPr>
          <w:spacing w:val="-13"/>
          <w:sz w:val="20"/>
        </w:rPr>
        <w:t> </w:t>
      </w:r>
      <w:r>
        <w:rPr>
          <w:sz w:val="20"/>
        </w:rPr>
        <w:t>(6)</w:t>
      </w:r>
      <w:r>
        <w:rPr>
          <w:spacing w:val="-13"/>
          <w:sz w:val="20"/>
        </w:rPr>
        <w:t> </w:t>
      </w:r>
      <w:r>
        <w:rPr>
          <w:sz w:val="20"/>
        </w:rPr>
        <w:t>directors, four (4) of whom were fully independent, and two (2) of whom were GSFC Nominees. I verily believe that the KRN Board was comprised of a majority of independent directors and was in compliance with Securities Laws and TSX</w:t>
      </w:r>
      <w:r>
        <w:rPr>
          <w:spacing w:val="-6"/>
          <w:sz w:val="20"/>
        </w:rPr>
        <w:t> </w:t>
      </w:r>
      <w:r>
        <w:rPr>
          <w:sz w:val="20"/>
        </w:rPr>
        <w:t>Rules.</w:t>
      </w:r>
    </w:p>
    <w:p>
      <w:pPr>
        <w:pStyle w:val="BodyText"/>
        <w:spacing w:before="10"/>
      </w:pPr>
    </w:p>
    <w:p>
      <w:pPr>
        <w:pStyle w:val="ListParagraph"/>
        <w:numPr>
          <w:ilvl w:val="0"/>
          <w:numId w:val="1"/>
        </w:numPr>
        <w:tabs>
          <w:tab w:pos="840" w:val="left" w:leader="none"/>
        </w:tabs>
        <w:spacing w:line="360" w:lineRule="auto" w:before="0" w:after="0"/>
        <w:ind w:left="839" w:right="1197" w:hanging="721"/>
        <w:jc w:val="both"/>
        <w:rPr>
          <w:sz w:val="20"/>
        </w:rPr>
      </w:pPr>
      <w:bookmarkStart w:name="31. When I re-was elected to the KRN Boa" w:id="59"/>
      <w:bookmarkEnd w:id="59"/>
      <w:r>
        <w:rPr/>
      </w:r>
      <w:bookmarkStart w:name="31. When I re-was elected to the KRN Boa" w:id="60"/>
      <w:bookmarkEnd w:id="60"/>
      <w:r>
        <w:rPr>
          <w:sz w:val="20"/>
        </w:rPr>
        <w:t>W</w:t>
      </w:r>
      <w:r>
        <w:rPr>
          <w:sz w:val="20"/>
        </w:rPr>
        <w:t>hen I re-was elected to the KRN Board at the 2018 AGM, the KRN Board comprised six (6) directors, three (3) of whom were fully independent, two (2) of whom were GSFC Nominees, and the other director being Rowan, the Interim CEO, who was not independent. I verily believe that the</w:t>
      </w:r>
      <w:r>
        <w:rPr>
          <w:spacing w:val="-15"/>
          <w:sz w:val="20"/>
        </w:rPr>
        <w:t> </w:t>
      </w:r>
      <w:r>
        <w:rPr>
          <w:sz w:val="20"/>
        </w:rPr>
        <w:t>KRN</w:t>
      </w:r>
      <w:r>
        <w:rPr>
          <w:spacing w:val="-14"/>
          <w:sz w:val="20"/>
        </w:rPr>
        <w:t> </w:t>
      </w:r>
      <w:r>
        <w:rPr>
          <w:sz w:val="20"/>
        </w:rPr>
        <w:t>Board</w:t>
      </w:r>
      <w:r>
        <w:rPr>
          <w:spacing w:val="-15"/>
          <w:sz w:val="20"/>
        </w:rPr>
        <w:t> </w:t>
      </w:r>
      <w:r>
        <w:rPr>
          <w:sz w:val="20"/>
        </w:rPr>
        <w:t>was</w:t>
      </w:r>
      <w:r>
        <w:rPr>
          <w:spacing w:val="-16"/>
          <w:sz w:val="20"/>
        </w:rPr>
        <w:t> </w:t>
      </w:r>
      <w:r>
        <w:rPr>
          <w:sz w:val="20"/>
        </w:rPr>
        <w:t>comprised</w:t>
      </w:r>
      <w:r>
        <w:rPr>
          <w:spacing w:val="-15"/>
          <w:sz w:val="20"/>
        </w:rPr>
        <w:t> </w:t>
      </w:r>
      <w:r>
        <w:rPr>
          <w:sz w:val="20"/>
        </w:rPr>
        <w:t>of</w:t>
      </w:r>
      <w:r>
        <w:rPr>
          <w:spacing w:val="-16"/>
          <w:sz w:val="20"/>
        </w:rPr>
        <w:t> </w:t>
      </w:r>
      <w:r>
        <w:rPr>
          <w:sz w:val="20"/>
        </w:rPr>
        <w:t>50%</w:t>
      </w:r>
      <w:r>
        <w:rPr>
          <w:spacing w:val="-14"/>
          <w:sz w:val="20"/>
        </w:rPr>
        <w:t> </w:t>
      </w:r>
      <w:r>
        <w:rPr>
          <w:sz w:val="20"/>
        </w:rPr>
        <w:t>independent</w:t>
      </w:r>
      <w:r>
        <w:rPr>
          <w:spacing w:val="-16"/>
          <w:sz w:val="20"/>
        </w:rPr>
        <w:t> </w:t>
      </w:r>
      <w:r>
        <w:rPr>
          <w:sz w:val="20"/>
        </w:rPr>
        <w:t>directors</w:t>
      </w:r>
      <w:r>
        <w:rPr>
          <w:spacing w:val="-15"/>
          <w:sz w:val="20"/>
        </w:rPr>
        <w:t> </w:t>
      </w:r>
      <w:r>
        <w:rPr>
          <w:sz w:val="20"/>
        </w:rPr>
        <w:t>and</w:t>
      </w:r>
      <w:r>
        <w:rPr>
          <w:spacing w:val="-16"/>
          <w:sz w:val="20"/>
        </w:rPr>
        <w:t> </w:t>
      </w:r>
      <w:r>
        <w:rPr>
          <w:sz w:val="20"/>
        </w:rPr>
        <w:t>was</w:t>
      </w:r>
      <w:r>
        <w:rPr>
          <w:spacing w:val="-14"/>
          <w:sz w:val="20"/>
        </w:rPr>
        <w:t> </w:t>
      </w:r>
      <w:r>
        <w:rPr>
          <w:sz w:val="20"/>
        </w:rPr>
        <w:t>in</w:t>
      </w:r>
      <w:r>
        <w:rPr>
          <w:spacing w:val="-16"/>
          <w:sz w:val="20"/>
        </w:rPr>
        <w:t> </w:t>
      </w:r>
      <w:r>
        <w:rPr>
          <w:sz w:val="20"/>
        </w:rPr>
        <w:t>compliance</w:t>
      </w:r>
      <w:r>
        <w:rPr>
          <w:spacing w:val="-15"/>
          <w:sz w:val="20"/>
        </w:rPr>
        <w:t> </w:t>
      </w:r>
      <w:r>
        <w:rPr>
          <w:sz w:val="20"/>
        </w:rPr>
        <w:t>with</w:t>
      </w:r>
      <w:r>
        <w:rPr>
          <w:spacing w:val="-15"/>
          <w:sz w:val="20"/>
        </w:rPr>
        <w:t> </w:t>
      </w:r>
      <w:r>
        <w:rPr>
          <w:sz w:val="20"/>
        </w:rPr>
        <w:t>Securities Laws and TSX</w:t>
      </w:r>
      <w:r>
        <w:rPr>
          <w:spacing w:val="-3"/>
          <w:sz w:val="20"/>
        </w:rPr>
        <w:t> </w:t>
      </w:r>
      <w:r>
        <w:rPr>
          <w:sz w:val="20"/>
        </w:rPr>
        <w:t>Rules.</w:t>
      </w:r>
    </w:p>
    <w:p>
      <w:pPr>
        <w:pStyle w:val="BodyText"/>
        <w:spacing w:before="9"/>
      </w:pPr>
    </w:p>
    <w:p>
      <w:pPr>
        <w:pStyle w:val="Heading1"/>
        <w:numPr>
          <w:ilvl w:val="0"/>
          <w:numId w:val="2"/>
        </w:numPr>
        <w:tabs>
          <w:tab w:pos="839" w:val="left" w:leader="none"/>
          <w:tab w:pos="841" w:val="left" w:leader="none"/>
        </w:tabs>
        <w:spacing w:line="240" w:lineRule="auto" w:before="0" w:after="0"/>
        <w:ind w:left="840" w:right="0" w:hanging="721"/>
        <w:jc w:val="left"/>
        <w:rPr>
          <w:u w:val="none"/>
        </w:rPr>
      </w:pPr>
      <w:r>
        <w:rPr>
          <w:u w:val="thick"/>
        </w:rPr>
        <w:t>Increase in GSFC Shareholding in</w:t>
      </w:r>
      <w:r>
        <w:rPr>
          <w:spacing w:val="-5"/>
          <w:u w:val="thick"/>
        </w:rPr>
        <w:t> </w:t>
      </w:r>
      <w:r>
        <w:rPr>
          <w:u w:val="thick"/>
        </w:rPr>
        <w:t>KRN</w:t>
      </w:r>
    </w:p>
    <w:p>
      <w:pPr>
        <w:pStyle w:val="BodyText"/>
        <w:spacing w:before="9"/>
        <w:rPr>
          <w:b/>
          <w:sz w:val="22"/>
        </w:rPr>
      </w:pPr>
    </w:p>
    <w:p>
      <w:pPr>
        <w:pStyle w:val="ListParagraph"/>
        <w:numPr>
          <w:ilvl w:val="0"/>
          <w:numId w:val="1"/>
        </w:numPr>
        <w:tabs>
          <w:tab w:pos="841" w:val="left" w:leader="none"/>
        </w:tabs>
        <w:spacing w:line="360" w:lineRule="auto" w:before="94" w:after="0"/>
        <w:ind w:left="840" w:right="1197" w:hanging="721"/>
        <w:jc w:val="both"/>
        <w:rPr>
          <w:sz w:val="20"/>
        </w:rPr>
      </w:pPr>
      <w:r>
        <w:rPr>
          <w:sz w:val="20"/>
        </w:rPr>
        <w:t>On</w:t>
      </w:r>
      <w:r>
        <w:rPr>
          <w:spacing w:val="-10"/>
          <w:sz w:val="20"/>
        </w:rPr>
        <w:t> </w:t>
      </w:r>
      <w:r>
        <w:rPr>
          <w:sz w:val="20"/>
        </w:rPr>
        <w:t>November</w:t>
      </w:r>
      <w:r>
        <w:rPr>
          <w:spacing w:val="-10"/>
          <w:sz w:val="20"/>
        </w:rPr>
        <w:t> </w:t>
      </w:r>
      <w:r>
        <w:rPr>
          <w:sz w:val="20"/>
        </w:rPr>
        <w:t>14,</w:t>
      </w:r>
      <w:r>
        <w:rPr>
          <w:spacing w:val="-11"/>
          <w:sz w:val="20"/>
        </w:rPr>
        <w:t> </w:t>
      </w:r>
      <w:r>
        <w:rPr>
          <w:sz w:val="20"/>
        </w:rPr>
        <w:t>2018,</w:t>
      </w:r>
      <w:r>
        <w:rPr>
          <w:spacing w:val="-11"/>
          <w:sz w:val="20"/>
        </w:rPr>
        <w:t> </w:t>
      </w:r>
      <w:r>
        <w:rPr>
          <w:sz w:val="20"/>
        </w:rPr>
        <w:t>the</w:t>
      </w:r>
      <w:r>
        <w:rPr>
          <w:spacing w:val="-10"/>
          <w:sz w:val="20"/>
        </w:rPr>
        <w:t> </w:t>
      </w:r>
      <w:r>
        <w:rPr>
          <w:sz w:val="20"/>
        </w:rPr>
        <w:t>KRN</w:t>
      </w:r>
      <w:r>
        <w:rPr>
          <w:spacing w:val="-10"/>
          <w:sz w:val="20"/>
        </w:rPr>
        <w:t> </w:t>
      </w:r>
      <w:r>
        <w:rPr>
          <w:sz w:val="20"/>
        </w:rPr>
        <w:t>Board</w:t>
      </w:r>
      <w:r>
        <w:rPr>
          <w:spacing w:val="-11"/>
          <w:sz w:val="20"/>
        </w:rPr>
        <w:t> </w:t>
      </w:r>
      <w:r>
        <w:rPr>
          <w:sz w:val="20"/>
        </w:rPr>
        <w:t>authorized</w:t>
      </w:r>
      <w:r>
        <w:rPr>
          <w:spacing w:val="-10"/>
          <w:sz w:val="20"/>
        </w:rPr>
        <w:t> </w:t>
      </w:r>
      <w:r>
        <w:rPr>
          <w:sz w:val="20"/>
        </w:rPr>
        <w:t>KRN</w:t>
      </w:r>
      <w:r>
        <w:rPr>
          <w:spacing w:val="-10"/>
          <w:sz w:val="20"/>
        </w:rPr>
        <w:t> </w:t>
      </w:r>
      <w:r>
        <w:rPr>
          <w:sz w:val="20"/>
        </w:rPr>
        <w:t>to</w:t>
      </w:r>
      <w:r>
        <w:rPr>
          <w:spacing w:val="-10"/>
          <w:sz w:val="20"/>
        </w:rPr>
        <w:t> </w:t>
      </w:r>
      <w:r>
        <w:rPr>
          <w:sz w:val="20"/>
        </w:rPr>
        <w:t>undertake</w:t>
      </w:r>
      <w:r>
        <w:rPr>
          <w:spacing w:val="-10"/>
          <w:sz w:val="20"/>
        </w:rPr>
        <w:t> </w:t>
      </w:r>
      <w:r>
        <w:rPr>
          <w:sz w:val="20"/>
        </w:rPr>
        <w:t>a</w:t>
      </w:r>
      <w:r>
        <w:rPr>
          <w:spacing w:val="-10"/>
          <w:sz w:val="20"/>
        </w:rPr>
        <w:t> </w:t>
      </w:r>
      <w:r>
        <w:rPr>
          <w:sz w:val="20"/>
        </w:rPr>
        <w:t>public</w:t>
      </w:r>
      <w:r>
        <w:rPr>
          <w:spacing w:val="-10"/>
          <w:sz w:val="20"/>
        </w:rPr>
        <w:t> </w:t>
      </w:r>
      <w:r>
        <w:rPr>
          <w:sz w:val="20"/>
        </w:rPr>
        <w:t>offering</w:t>
      </w:r>
      <w:r>
        <w:rPr>
          <w:spacing w:val="-10"/>
          <w:sz w:val="20"/>
        </w:rPr>
        <w:t> </w:t>
      </w:r>
      <w:r>
        <w:rPr>
          <w:sz w:val="20"/>
        </w:rPr>
        <w:t>of</w:t>
      </w:r>
      <w:r>
        <w:rPr>
          <w:spacing w:val="-11"/>
          <w:sz w:val="20"/>
        </w:rPr>
        <w:t> </w:t>
      </w:r>
      <w:r>
        <w:rPr>
          <w:sz w:val="20"/>
        </w:rPr>
        <w:t>securities by way of rights offering (the “</w:t>
      </w:r>
      <w:r>
        <w:rPr>
          <w:b/>
          <w:sz w:val="20"/>
        </w:rPr>
        <w:t>Rights Offering</w:t>
      </w:r>
      <w:r>
        <w:rPr>
          <w:sz w:val="20"/>
        </w:rPr>
        <w:t>”) to all KRN shareholders (the “</w:t>
      </w:r>
      <w:r>
        <w:rPr>
          <w:b/>
          <w:sz w:val="20"/>
        </w:rPr>
        <w:t>KRN Shareholders</w:t>
      </w:r>
      <w:r>
        <w:rPr>
          <w:sz w:val="20"/>
        </w:rPr>
        <w:t>”). Attached and marked as </w:t>
      </w:r>
      <w:r>
        <w:rPr>
          <w:b/>
          <w:sz w:val="20"/>
        </w:rPr>
        <w:t>Exhibit “N</w:t>
      </w:r>
      <w:r>
        <w:rPr>
          <w:sz w:val="20"/>
        </w:rPr>
        <w:t>” to the FDW Affidavit is a copy of the rights offering</w:t>
      </w:r>
      <w:r>
        <w:rPr>
          <w:spacing w:val="-2"/>
          <w:sz w:val="20"/>
        </w:rPr>
        <w:t> </w:t>
      </w:r>
      <w:r>
        <w:rPr>
          <w:sz w:val="20"/>
        </w:rPr>
        <w:t>circular.</w:t>
      </w:r>
    </w:p>
    <w:p>
      <w:pPr>
        <w:pStyle w:val="BodyText"/>
        <w:spacing w:before="10"/>
      </w:pPr>
    </w:p>
    <w:p>
      <w:pPr>
        <w:pStyle w:val="ListParagraph"/>
        <w:numPr>
          <w:ilvl w:val="0"/>
          <w:numId w:val="1"/>
        </w:numPr>
        <w:tabs>
          <w:tab w:pos="841" w:val="left" w:leader="none"/>
        </w:tabs>
        <w:spacing w:line="360" w:lineRule="auto" w:before="0" w:after="0"/>
        <w:ind w:left="839" w:right="1197" w:hanging="720"/>
        <w:jc w:val="both"/>
        <w:rPr>
          <w:sz w:val="20"/>
        </w:rPr>
      </w:pPr>
      <w:r>
        <w:rPr>
          <w:sz w:val="20"/>
        </w:rPr>
        <w:t>The Rights Offering closed on December 23, 2018 and raised approximately $2.3 million. GSFC participated in the Rights Offering and increased its shareholdings in KRN from 21.5% to 38.73%. Attached and marked as </w:t>
      </w:r>
      <w:r>
        <w:rPr>
          <w:b/>
          <w:sz w:val="20"/>
        </w:rPr>
        <w:t>Exhibit “O” </w:t>
      </w:r>
      <w:r>
        <w:rPr>
          <w:sz w:val="20"/>
        </w:rPr>
        <w:t>to the FDW Affidavit is a copy of the KRN press release of December 24,</w:t>
      </w:r>
      <w:r>
        <w:rPr>
          <w:spacing w:val="-2"/>
          <w:sz w:val="20"/>
        </w:rPr>
        <w:t> </w:t>
      </w:r>
      <w:r>
        <w:rPr>
          <w:sz w:val="20"/>
        </w:rPr>
        <w:t>2018.</w:t>
      </w:r>
    </w:p>
    <w:p>
      <w:pPr>
        <w:pStyle w:val="BodyText"/>
        <w:spacing w:before="9"/>
      </w:pPr>
    </w:p>
    <w:p>
      <w:pPr>
        <w:pStyle w:val="ListParagraph"/>
        <w:numPr>
          <w:ilvl w:val="0"/>
          <w:numId w:val="1"/>
        </w:numPr>
        <w:tabs>
          <w:tab w:pos="840" w:val="left" w:leader="none"/>
        </w:tabs>
        <w:spacing w:line="360" w:lineRule="auto" w:before="0" w:after="0"/>
        <w:ind w:left="839" w:right="1197" w:hanging="721"/>
        <w:jc w:val="both"/>
        <w:rPr>
          <w:sz w:val="20"/>
        </w:rPr>
      </w:pPr>
      <w:r>
        <w:rPr>
          <w:sz w:val="20"/>
        </w:rPr>
        <w:t>I</w:t>
      </w:r>
      <w:r>
        <w:rPr>
          <w:spacing w:val="-10"/>
          <w:sz w:val="20"/>
        </w:rPr>
        <w:t> </w:t>
      </w:r>
      <w:r>
        <w:rPr>
          <w:sz w:val="20"/>
        </w:rPr>
        <w:t>verily</w:t>
      </w:r>
      <w:r>
        <w:rPr>
          <w:spacing w:val="-8"/>
          <w:sz w:val="20"/>
        </w:rPr>
        <w:t> </w:t>
      </w:r>
      <w:r>
        <w:rPr>
          <w:sz w:val="20"/>
        </w:rPr>
        <w:t>believe</w:t>
      </w:r>
      <w:r>
        <w:rPr>
          <w:spacing w:val="-9"/>
          <w:sz w:val="20"/>
        </w:rPr>
        <w:t> </w:t>
      </w:r>
      <w:r>
        <w:rPr>
          <w:sz w:val="20"/>
        </w:rPr>
        <w:t>that,</w:t>
      </w:r>
      <w:r>
        <w:rPr>
          <w:spacing w:val="-10"/>
          <w:sz w:val="20"/>
        </w:rPr>
        <w:t> </w:t>
      </w:r>
      <w:r>
        <w:rPr>
          <w:sz w:val="20"/>
        </w:rPr>
        <w:t>as</w:t>
      </w:r>
      <w:r>
        <w:rPr>
          <w:spacing w:val="-8"/>
          <w:sz w:val="20"/>
        </w:rPr>
        <w:t> </w:t>
      </w:r>
      <w:r>
        <w:rPr>
          <w:sz w:val="20"/>
        </w:rPr>
        <w:t>a</w:t>
      </w:r>
      <w:r>
        <w:rPr>
          <w:spacing w:val="-9"/>
          <w:sz w:val="20"/>
        </w:rPr>
        <w:t> </w:t>
      </w:r>
      <w:r>
        <w:rPr>
          <w:sz w:val="20"/>
        </w:rPr>
        <w:t>38.73%</w:t>
      </w:r>
      <w:r>
        <w:rPr>
          <w:spacing w:val="-8"/>
          <w:sz w:val="20"/>
        </w:rPr>
        <w:t> </w:t>
      </w:r>
      <w:r>
        <w:rPr>
          <w:sz w:val="20"/>
        </w:rPr>
        <w:t>shareholder</w:t>
      </w:r>
      <w:r>
        <w:rPr>
          <w:spacing w:val="-9"/>
          <w:sz w:val="20"/>
        </w:rPr>
        <w:t> </w:t>
      </w:r>
      <w:r>
        <w:rPr>
          <w:sz w:val="20"/>
        </w:rPr>
        <w:t>of</w:t>
      </w:r>
      <w:r>
        <w:rPr>
          <w:spacing w:val="-10"/>
          <w:sz w:val="20"/>
        </w:rPr>
        <w:t> </w:t>
      </w:r>
      <w:r>
        <w:rPr>
          <w:sz w:val="20"/>
        </w:rPr>
        <w:t>KRN,</w:t>
      </w:r>
      <w:r>
        <w:rPr>
          <w:spacing w:val="-11"/>
          <w:sz w:val="20"/>
        </w:rPr>
        <w:t> </w:t>
      </w:r>
      <w:r>
        <w:rPr>
          <w:sz w:val="20"/>
        </w:rPr>
        <w:t>the</w:t>
      </w:r>
      <w:r>
        <w:rPr>
          <w:spacing w:val="-9"/>
          <w:sz w:val="20"/>
        </w:rPr>
        <w:t> </w:t>
      </w:r>
      <w:r>
        <w:rPr>
          <w:sz w:val="20"/>
        </w:rPr>
        <w:t>GSFC</w:t>
      </w:r>
      <w:r>
        <w:rPr>
          <w:spacing w:val="-9"/>
          <w:sz w:val="20"/>
        </w:rPr>
        <w:t> </w:t>
      </w:r>
      <w:r>
        <w:rPr>
          <w:sz w:val="20"/>
        </w:rPr>
        <w:t>Nomination</w:t>
      </w:r>
      <w:r>
        <w:rPr>
          <w:spacing w:val="-9"/>
          <w:sz w:val="20"/>
        </w:rPr>
        <w:t> </w:t>
      </w:r>
      <w:r>
        <w:rPr>
          <w:sz w:val="20"/>
        </w:rPr>
        <w:t>Right</w:t>
      </w:r>
      <w:r>
        <w:rPr>
          <w:spacing w:val="-10"/>
          <w:sz w:val="20"/>
        </w:rPr>
        <w:t> </w:t>
      </w:r>
      <w:r>
        <w:rPr>
          <w:sz w:val="20"/>
        </w:rPr>
        <w:t>gives</w:t>
      </w:r>
      <w:r>
        <w:rPr>
          <w:spacing w:val="-8"/>
          <w:sz w:val="20"/>
        </w:rPr>
        <w:t> </w:t>
      </w:r>
      <w:r>
        <w:rPr>
          <w:sz w:val="20"/>
        </w:rPr>
        <w:t>GSFC</w:t>
      </w:r>
      <w:r>
        <w:rPr>
          <w:spacing w:val="-9"/>
          <w:sz w:val="20"/>
        </w:rPr>
        <w:t> </w:t>
      </w:r>
      <w:r>
        <w:rPr>
          <w:sz w:val="20"/>
        </w:rPr>
        <w:t>the right to</w:t>
      </w:r>
      <w:r>
        <w:rPr>
          <w:spacing w:val="-3"/>
          <w:sz w:val="20"/>
        </w:rPr>
        <w:t> </w:t>
      </w:r>
      <w:r>
        <w:rPr>
          <w:sz w:val="20"/>
        </w:rPr>
        <w:t>nominate:</w:t>
      </w:r>
    </w:p>
    <w:p>
      <w:pPr>
        <w:pStyle w:val="BodyText"/>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38.73% of the members of the KRN Board, rounded down the nearest whole</w:t>
      </w:r>
      <w:r>
        <w:rPr>
          <w:spacing w:val="-18"/>
          <w:sz w:val="20"/>
        </w:rPr>
        <w:t> </w:t>
      </w:r>
      <w:r>
        <w:rPr>
          <w:sz w:val="20"/>
        </w:rPr>
        <w:t>number;</w:t>
      </w:r>
    </w:p>
    <w:p>
      <w:pPr>
        <w:pStyle w:val="BodyText"/>
        <w:spacing w:before="9"/>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sz w:val="20"/>
        </w:rPr>
      </w:pPr>
      <w:r>
        <w:rPr>
          <w:sz w:val="20"/>
        </w:rPr>
        <w:t>two (2) directors to a KRN Board consisting of six (6) directors;</w:t>
      </w:r>
      <w:r>
        <w:rPr>
          <w:spacing w:val="-16"/>
          <w:sz w:val="20"/>
        </w:rPr>
        <w:t> </w:t>
      </w:r>
      <w:r>
        <w:rPr>
          <w:sz w:val="20"/>
        </w:rPr>
        <w:t>and</w:t>
      </w:r>
    </w:p>
    <w:p>
      <w:pPr>
        <w:pStyle w:val="BodyText"/>
        <w:spacing w:before="8"/>
        <w:rPr>
          <w:sz w:val="30"/>
        </w:rPr>
      </w:pPr>
    </w:p>
    <w:p>
      <w:pPr>
        <w:pStyle w:val="ListParagraph"/>
        <w:numPr>
          <w:ilvl w:val="1"/>
          <w:numId w:val="1"/>
        </w:numPr>
        <w:tabs>
          <w:tab w:pos="1559" w:val="left" w:leader="none"/>
          <w:tab w:pos="1561" w:val="left" w:leader="none"/>
        </w:tabs>
        <w:spacing w:line="240" w:lineRule="auto" w:before="1" w:after="0"/>
        <w:ind w:left="1560" w:right="0" w:hanging="721"/>
        <w:jc w:val="left"/>
        <w:rPr>
          <w:sz w:val="20"/>
        </w:rPr>
      </w:pPr>
      <w:r>
        <w:rPr>
          <w:sz w:val="20"/>
        </w:rPr>
        <w:t>one (1) director to a KRN Board consisting of three (3)</w:t>
      </w:r>
      <w:r>
        <w:rPr>
          <w:spacing w:val="-12"/>
          <w:sz w:val="20"/>
        </w:rPr>
        <w:t> </w:t>
      </w:r>
      <w:r>
        <w:rPr>
          <w:sz w:val="20"/>
        </w:rPr>
        <w:t>directors.</w:t>
      </w:r>
    </w:p>
    <w:p>
      <w:pPr>
        <w:spacing w:after="0" w:line="240" w:lineRule="auto"/>
        <w:jc w:val="left"/>
        <w:rPr>
          <w:sz w:val="20"/>
        </w:rPr>
        <w:sectPr>
          <w:pgSz w:w="12240" w:h="15840"/>
          <w:pgMar w:header="0" w:footer="971" w:top="1220" w:bottom="1160" w:left="1320" w:right="240"/>
        </w:sectPr>
      </w:pPr>
    </w:p>
    <w:p>
      <w:pPr>
        <w:pStyle w:val="Heading1"/>
        <w:numPr>
          <w:ilvl w:val="0"/>
          <w:numId w:val="2"/>
        </w:numPr>
        <w:tabs>
          <w:tab w:pos="839" w:val="left" w:leader="none"/>
          <w:tab w:pos="841" w:val="left" w:leader="none"/>
        </w:tabs>
        <w:spacing w:line="240" w:lineRule="auto" w:before="75" w:after="0"/>
        <w:ind w:left="840" w:right="0" w:hanging="721"/>
        <w:jc w:val="left"/>
        <w:rPr>
          <w:u w:val="none"/>
        </w:rPr>
      </w:pPr>
      <w:r>
        <w:rPr>
          <w:u w:val="thick"/>
        </w:rPr>
        <w:t>GSFC Gains Control of KRN</w:t>
      </w:r>
      <w:r>
        <w:rPr>
          <w:spacing w:val="-5"/>
          <w:u w:val="thick"/>
        </w:rPr>
        <w:t> </w:t>
      </w:r>
      <w:r>
        <w:rPr>
          <w:u w:val="thick"/>
        </w:rPr>
        <w:t>Board</w:t>
      </w:r>
    </w:p>
    <w:p>
      <w:pPr>
        <w:pStyle w:val="BodyText"/>
        <w:spacing w:before="8"/>
        <w:rPr>
          <w:b/>
          <w:sz w:val="22"/>
        </w:rPr>
      </w:pPr>
    </w:p>
    <w:p>
      <w:pPr>
        <w:pStyle w:val="ListParagraph"/>
        <w:numPr>
          <w:ilvl w:val="0"/>
          <w:numId w:val="1"/>
        </w:numPr>
        <w:tabs>
          <w:tab w:pos="841" w:val="left" w:leader="none"/>
        </w:tabs>
        <w:spacing w:line="360" w:lineRule="auto" w:before="94" w:after="0"/>
        <w:ind w:left="839" w:right="1197" w:hanging="720"/>
        <w:jc w:val="both"/>
        <w:rPr>
          <w:sz w:val="20"/>
        </w:rPr>
      </w:pPr>
      <w:r>
        <w:rPr>
          <w:sz w:val="20"/>
        </w:rPr>
        <w:t>On</w:t>
      </w:r>
      <w:r>
        <w:rPr>
          <w:spacing w:val="-4"/>
          <w:sz w:val="20"/>
        </w:rPr>
        <w:t> </w:t>
      </w:r>
      <w:r>
        <w:rPr>
          <w:sz w:val="20"/>
        </w:rPr>
        <w:t>January</w:t>
      </w:r>
      <w:r>
        <w:rPr>
          <w:spacing w:val="-2"/>
          <w:sz w:val="20"/>
        </w:rPr>
        <w:t> </w:t>
      </w:r>
      <w:r>
        <w:rPr>
          <w:sz w:val="20"/>
        </w:rPr>
        <w:t>16,</w:t>
      </w:r>
      <w:r>
        <w:rPr>
          <w:spacing w:val="-2"/>
          <w:sz w:val="20"/>
        </w:rPr>
        <w:t> </w:t>
      </w:r>
      <w:r>
        <w:rPr>
          <w:sz w:val="20"/>
        </w:rPr>
        <w:t>2019,</w:t>
      </w:r>
      <w:r>
        <w:rPr>
          <w:spacing w:val="-4"/>
          <w:sz w:val="20"/>
        </w:rPr>
        <w:t> </w:t>
      </w:r>
      <w:r>
        <w:rPr>
          <w:sz w:val="20"/>
        </w:rPr>
        <w:t>my</w:t>
      </w:r>
      <w:r>
        <w:rPr>
          <w:spacing w:val="-3"/>
          <w:sz w:val="20"/>
        </w:rPr>
        <w:t> </w:t>
      </w:r>
      <w:r>
        <w:rPr>
          <w:sz w:val="20"/>
        </w:rPr>
        <w:t>resignation</w:t>
      </w:r>
      <w:r>
        <w:rPr>
          <w:spacing w:val="-2"/>
          <w:sz w:val="20"/>
        </w:rPr>
        <w:t> </w:t>
      </w:r>
      <w:r>
        <w:rPr>
          <w:sz w:val="20"/>
        </w:rPr>
        <w:t>from</w:t>
      </w:r>
      <w:r>
        <w:rPr>
          <w:spacing w:val="-3"/>
          <w:sz w:val="20"/>
        </w:rPr>
        <w:t> </w:t>
      </w:r>
      <w:r>
        <w:rPr>
          <w:sz w:val="20"/>
        </w:rPr>
        <w:t>the</w:t>
      </w:r>
      <w:r>
        <w:rPr>
          <w:spacing w:val="-3"/>
          <w:sz w:val="20"/>
        </w:rPr>
        <w:t> </w:t>
      </w:r>
      <w:r>
        <w:rPr>
          <w:sz w:val="20"/>
        </w:rPr>
        <w:t>KRN</w:t>
      </w:r>
      <w:r>
        <w:rPr>
          <w:spacing w:val="-1"/>
          <w:sz w:val="20"/>
        </w:rPr>
        <w:t> </w:t>
      </w:r>
      <w:r>
        <w:rPr>
          <w:sz w:val="20"/>
        </w:rPr>
        <w:t>Board,</w:t>
      </w:r>
      <w:r>
        <w:rPr>
          <w:spacing w:val="-4"/>
          <w:sz w:val="20"/>
        </w:rPr>
        <w:t> </w:t>
      </w:r>
      <w:r>
        <w:rPr>
          <w:sz w:val="20"/>
        </w:rPr>
        <w:t>together</w:t>
      </w:r>
      <w:r>
        <w:rPr>
          <w:spacing w:val="-2"/>
          <w:sz w:val="20"/>
        </w:rPr>
        <w:t> </w:t>
      </w:r>
      <w:r>
        <w:rPr>
          <w:sz w:val="20"/>
        </w:rPr>
        <w:t>with</w:t>
      </w:r>
      <w:r>
        <w:rPr>
          <w:spacing w:val="-2"/>
          <w:sz w:val="20"/>
        </w:rPr>
        <w:t> </w:t>
      </w:r>
      <w:r>
        <w:rPr>
          <w:sz w:val="20"/>
        </w:rPr>
        <w:t>the</w:t>
      </w:r>
      <w:r>
        <w:rPr>
          <w:spacing w:val="-3"/>
          <w:sz w:val="20"/>
        </w:rPr>
        <w:t> </w:t>
      </w:r>
      <w:r>
        <w:rPr>
          <w:sz w:val="20"/>
        </w:rPr>
        <w:t>resignation</w:t>
      </w:r>
      <w:r>
        <w:rPr>
          <w:spacing w:val="-4"/>
          <w:sz w:val="20"/>
        </w:rPr>
        <w:t> </w:t>
      </w:r>
      <w:r>
        <w:rPr>
          <w:sz w:val="20"/>
        </w:rPr>
        <w:t>of</w:t>
      </w:r>
      <w:r>
        <w:rPr>
          <w:spacing w:val="-2"/>
          <w:sz w:val="20"/>
        </w:rPr>
        <w:t> </w:t>
      </w:r>
      <w:r>
        <w:rPr>
          <w:sz w:val="20"/>
        </w:rPr>
        <w:t>two</w:t>
      </w:r>
      <w:r>
        <w:rPr>
          <w:spacing w:val="-3"/>
          <w:sz w:val="20"/>
        </w:rPr>
        <w:t> </w:t>
      </w:r>
      <w:r>
        <w:rPr>
          <w:sz w:val="20"/>
        </w:rPr>
        <w:t>(2) other</w:t>
      </w:r>
      <w:r>
        <w:rPr>
          <w:spacing w:val="-12"/>
          <w:sz w:val="20"/>
        </w:rPr>
        <w:t> </w:t>
      </w:r>
      <w:r>
        <w:rPr>
          <w:sz w:val="20"/>
        </w:rPr>
        <w:t>independent</w:t>
      </w:r>
      <w:r>
        <w:rPr>
          <w:spacing w:val="-13"/>
          <w:sz w:val="20"/>
        </w:rPr>
        <w:t> </w:t>
      </w:r>
      <w:r>
        <w:rPr>
          <w:sz w:val="20"/>
        </w:rPr>
        <w:t>directors,</w:t>
      </w:r>
      <w:r>
        <w:rPr>
          <w:spacing w:val="-12"/>
          <w:sz w:val="20"/>
        </w:rPr>
        <w:t> </w:t>
      </w:r>
      <w:r>
        <w:rPr>
          <w:sz w:val="20"/>
        </w:rPr>
        <w:t>created</w:t>
      </w:r>
      <w:r>
        <w:rPr>
          <w:spacing w:val="-12"/>
          <w:sz w:val="20"/>
        </w:rPr>
        <w:t> </w:t>
      </w:r>
      <w:r>
        <w:rPr>
          <w:sz w:val="20"/>
        </w:rPr>
        <w:t>three</w:t>
      </w:r>
      <w:r>
        <w:rPr>
          <w:spacing w:val="-11"/>
          <w:sz w:val="20"/>
        </w:rPr>
        <w:t> </w:t>
      </w:r>
      <w:r>
        <w:rPr>
          <w:sz w:val="20"/>
        </w:rPr>
        <w:t>(3)</w:t>
      </w:r>
      <w:r>
        <w:rPr>
          <w:spacing w:val="-12"/>
          <w:sz w:val="20"/>
        </w:rPr>
        <w:t> </w:t>
      </w:r>
      <w:r>
        <w:rPr>
          <w:sz w:val="20"/>
        </w:rPr>
        <w:t>vacancies</w:t>
      </w:r>
      <w:r>
        <w:rPr>
          <w:spacing w:val="-11"/>
          <w:sz w:val="20"/>
        </w:rPr>
        <w:t> </w:t>
      </w:r>
      <w:r>
        <w:rPr>
          <w:sz w:val="20"/>
        </w:rPr>
        <w:t>on</w:t>
      </w:r>
      <w:r>
        <w:rPr>
          <w:spacing w:val="-12"/>
          <w:sz w:val="20"/>
        </w:rPr>
        <w:t> </w:t>
      </w:r>
      <w:r>
        <w:rPr>
          <w:sz w:val="20"/>
        </w:rPr>
        <w:t>the</w:t>
      </w:r>
      <w:r>
        <w:rPr>
          <w:spacing w:val="-11"/>
          <w:sz w:val="20"/>
        </w:rPr>
        <w:t> </w:t>
      </w:r>
      <w:r>
        <w:rPr>
          <w:sz w:val="20"/>
        </w:rPr>
        <w:t>KRN</w:t>
      </w:r>
      <w:r>
        <w:rPr>
          <w:spacing w:val="-12"/>
          <w:sz w:val="20"/>
        </w:rPr>
        <w:t> </w:t>
      </w:r>
      <w:r>
        <w:rPr>
          <w:sz w:val="20"/>
        </w:rPr>
        <w:t>Board.</w:t>
      </w:r>
      <w:r>
        <w:rPr>
          <w:spacing w:val="31"/>
          <w:sz w:val="20"/>
        </w:rPr>
        <w:t> </w:t>
      </w:r>
      <w:r>
        <w:rPr>
          <w:sz w:val="20"/>
        </w:rPr>
        <w:t>After</w:t>
      </w:r>
      <w:r>
        <w:rPr>
          <w:spacing w:val="-12"/>
          <w:sz w:val="20"/>
        </w:rPr>
        <w:t> </w:t>
      </w:r>
      <w:r>
        <w:rPr>
          <w:sz w:val="20"/>
        </w:rPr>
        <w:t>our</w:t>
      </w:r>
      <w:r>
        <w:rPr>
          <w:spacing w:val="-12"/>
          <w:sz w:val="20"/>
        </w:rPr>
        <w:t> </w:t>
      </w:r>
      <w:r>
        <w:rPr>
          <w:sz w:val="20"/>
        </w:rPr>
        <w:t>resignations, the KRN Board was comprised of the following three (3) directors: Varma, Nanavaty and</w:t>
      </w:r>
      <w:r>
        <w:rPr>
          <w:spacing w:val="-34"/>
          <w:sz w:val="20"/>
        </w:rPr>
        <w:t> </w:t>
      </w:r>
      <w:r>
        <w:rPr>
          <w:sz w:val="20"/>
        </w:rPr>
        <w:t>Rowan.</w:t>
      </w:r>
    </w:p>
    <w:p>
      <w:pPr>
        <w:pStyle w:val="BodyText"/>
        <w:spacing w:before="10"/>
      </w:pPr>
    </w:p>
    <w:p>
      <w:pPr>
        <w:pStyle w:val="ListParagraph"/>
        <w:numPr>
          <w:ilvl w:val="0"/>
          <w:numId w:val="1"/>
        </w:numPr>
        <w:tabs>
          <w:tab w:pos="839" w:val="left" w:leader="none"/>
          <w:tab w:pos="840" w:val="left" w:leader="none"/>
        </w:tabs>
        <w:spacing w:line="240" w:lineRule="auto" w:before="1" w:after="0"/>
        <w:ind w:left="839" w:right="0" w:hanging="721"/>
        <w:jc w:val="left"/>
        <w:rPr>
          <w:sz w:val="20"/>
        </w:rPr>
      </w:pPr>
      <w:bookmarkStart w:name="36. I verily believe that as of January " w:id="61"/>
      <w:bookmarkEnd w:id="61"/>
      <w:r>
        <w:rPr/>
      </w:r>
      <w:bookmarkStart w:name="36. I verily believe that as of January " w:id="62"/>
      <w:bookmarkEnd w:id="62"/>
      <w:r>
        <w:rPr>
          <w:sz w:val="20"/>
        </w:rPr>
        <w:t>I</w:t>
      </w:r>
      <w:r>
        <w:rPr>
          <w:sz w:val="20"/>
        </w:rPr>
        <w:t> verily believe that as of January 16,</w:t>
      </w:r>
      <w:r>
        <w:rPr>
          <w:spacing w:val="-7"/>
          <w:sz w:val="20"/>
        </w:rPr>
        <w:t> </w:t>
      </w:r>
      <w:r>
        <w:rPr>
          <w:sz w:val="20"/>
        </w:rPr>
        <w:t>2019:</w:t>
      </w:r>
    </w:p>
    <w:p>
      <w:pPr>
        <w:pStyle w:val="BodyText"/>
        <w:spacing w:before="10"/>
        <w:rPr>
          <w:sz w:val="30"/>
        </w:rPr>
      </w:pPr>
    </w:p>
    <w:p>
      <w:pPr>
        <w:pStyle w:val="ListParagraph"/>
        <w:numPr>
          <w:ilvl w:val="1"/>
          <w:numId w:val="1"/>
        </w:numPr>
        <w:tabs>
          <w:tab w:pos="1559" w:val="left" w:leader="none"/>
          <w:tab w:pos="1560" w:val="left" w:leader="none"/>
        </w:tabs>
        <w:spacing w:line="350" w:lineRule="auto" w:before="0" w:after="0"/>
        <w:ind w:left="1559" w:right="1197" w:hanging="720"/>
        <w:jc w:val="both"/>
        <w:rPr>
          <w:sz w:val="20"/>
        </w:rPr>
      </w:pPr>
      <w:bookmarkStart w:name=" the KRN Board was not comprised of a m" w:id="63"/>
      <w:bookmarkEnd w:id="63"/>
      <w:r>
        <w:rPr/>
      </w:r>
      <w:bookmarkStart w:name=" the KRN Board was not comprised of a m" w:id="64"/>
      <w:bookmarkEnd w:id="64"/>
      <w:r>
        <w:rPr>
          <w:sz w:val="20"/>
        </w:rPr>
        <w:t>t</w:t>
      </w:r>
      <w:r>
        <w:rPr>
          <w:sz w:val="20"/>
        </w:rPr>
        <w:t>he KRN Board was not comprised of a majority of independent directors, as none of Nanavaty, Varma, or Rowan were</w:t>
      </w:r>
      <w:r>
        <w:rPr>
          <w:spacing w:val="-7"/>
          <w:sz w:val="20"/>
        </w:rPr>
        <w:t> </w:t>
      </w:r>
      <w:r>
        <w:rPr>
          <w:sz w:val="20"/>
        </w:rPr>
        <w:t>independent;</w:t>
      </w:r>
    </w:p>
    <w:p>
      <w:pPr>
        <w:pStyle w:val="BodyText"/>
        <w:spacing w:before="9"/>
        <w:rPr>
          <w:sz w:val="21"/>
        </w:rPr>
      </w:pPr>
    </w:p>
    <w:p>
      <w:pPr>
        <w:pStyle w:val="ListParagraph"/>
        <w:numPr>
          <w:ilvl w:val="1"/>
          <w:numId w:val="1"/>
        </w:numPr>
        <w:tabs>
          <w:tab w:pos="1559" w:val="left" w:leader="none"/>
          <w:tab w:pos="1560" w:val="left" w:leader="none"/>
        </w:tabs>
        <w:spacing w:line="355" w:lineRule="auto" w:before="0" w:after="0"/>
        <w:ind w:left="1559" w:right="1197" w:hanging="721"/>
        <w:jc w:val="both"/>
        <w:rPr>
          <w:sz w:val="20"/>
        </w:rPr>
      </w:pPr>
      <w:r>
        <w:rPr>
          <w:sz w:val="20"/>
        </w:rPr>
        <w:t>the</w:t>
      </w:r>
      <w:r>
        <w:rPr>
          <w:spacing w:val="-11"/>
          <w:sz w:val="20"/>
        </w:rPr>
        <w:t> </w:t>
      </w:r>
      <w:r>
        <w:rPr>
          <w:sz w:val="20"/>
        </w:rPr>
        <w:t>GSFC</w:t>
      </w:r>
      <w:r>
        <w:rPr>
          <w:spacing w:val="-11"/>
          <w:sz w:val="20"/>
        </w:rPr>
        <w:t> </w:t>
      </w:r>
      <w:r>
        <w:rPr>
          <w:sz w:val="20"/>
        </w:rPr>
        <w:t>Nominees</w:t>
      </w:r>
      <w:r>
        <w:rPr>
          <w:spacing w:val="-11"/>
          <w:sz w:val="20"/>
        </w:rPr>
        <w:t> </w:t>
      </w:r>
      <w:r>
        <w:rPr>
          <w:sz w:val="20"/>
        </w:rPr>
        <w:t>comprised</w:t>
      </w:r>
      <w:r>
        <w:rPr>
          <w:spacing w:val="-10"/>
          <w:sz w:val="20"/>
        </w:rPr>
        <w:t> </w:t>
      </w:r>
      <w:r>
        <w:rPr>
          <w:sz w:val="20"/>
        </w:rPr>
        <w:t>the</w:t>
      </w:r>
      <w:r>
        <w:rPr>
          <w:spacing w:val="-11"/>
          <w:sz w:val="20"/>
        </w:rPr>
        <w:t> </w:t>
      </w:r>
      <w:r>
        <w:rPr>
          <w:sz w:val="20"/>
        </w:rPr>
        <w:t>majority</w:t>
      </w:r>
      <w:r>
        <w:rPr>
          <w:spacing w:val="-11"/>
          <w:sz w:val="20"/>
        </w:rPr>
        <w:t> </w:t>
      </w:r>
      <w:r>
        <w:rPr>
          <w:sz w:val="20"/>
        </w:rPr>
        <w:t>of</w:t>
      </w:r>
      <w:r>
        <w:rPr>
          <w:spacing w:val="-11"/>
          <w:sz w:val="20"/>
        </w:rPr>
        <w:t> </w:t>
      </w:r>
      <w:r>
        <w:rPr>
          <w:sz w:val="20"/>
        </w:rPr>
        <w:t>the</w:t>
      </w:r>
      <w:r>
        <w:rPr>
          <w:spacing w:val="-11"/>
          <w:sz w:val="20"/>
        </w:rPr>
        <w:t> </w:t>
      </w:r>
      <w:r>
        <w:rPr>
          <w:sz w:val="20"/>
        </w:rPr>
        <w:t>members</w:t>
      </w:r>
      <w:r>
        <w:rPr>
          <w:spacing w:val="-11"/>
          <w:sz w:val="20"/>
        </w:rPr>
        <w:t> </w:t>
      </w:r>
      <w:r>
        <w:rPr>
          <w:sz w:val="20"/>
        </w:rPr>
        <w:t>of</w:t>
      </w:r>
      <w:r>
        <w:rPr>
          <w:spacing w:val="-11"/>
          <w:sz w:val="20"/>
        </w:rPr>
        <w:t> </w:t>
      </w:r>
      <w:r>
        <w:rPr>
          <w:sz w:val="20"/>
        </w:rPr>
        <w:t>the</w:t>
      </w:r>
      <w:r>
        <w:rPr>
          <w:spacing w:val="-12"/>
          <w:sz w:val="20"/>
        </w:rPr>
        <w:t> </w:t>
      </w:r>
      <w:r>
        <w:rPr>
          <w:sz w:val="20"/>
        </w:rPr>
        <w:t>KRN</w:t>
      </w:r>
      <w:r>
        <w:rPr>
          <w:spacing w:val="-11"/>
          <w:sz w:val="20"/>
        </w:rPr>
        <w:t> </w:t>
      </w:r>
      <w:r>
        <w:rPr>
          <w:sz w:val="20"/>
        </w:rPr>
        <w:t>Board,</w:t>
      </w:r>
      <w:r>
        <w:rPr>
          <w:spacing w:val="-11"/>
          <w:sz w:val="20"/>
        </w:rPr>
        <w:t> </w:t>
      </w:r>
      <w:r>
        <w:rPr>
          <w:sz w:val="20"/>
        </w:rPr>
        <w:t>and</w:t>
      </w:r>
      <w:r>
        <w:rPr>
          <w:spacing w:val="-11"/>
          <w:sz w:val="20"/>
        </w:rPr>
        <w:t> </w:t>
      </w:r>
      <w:r>
        <w:rPr>
          <w:sz w:val="20"/>
        </w:rPr>
        <w:t>GSFC and the GSFC Nominees, realized that they had total and complete control of the KRN Board and KRN;</w:t>
      </w:r>
      <w:r>
        <w:rPr>
          <w:spacing w:val="-5"/>
          <w:sz w:val="20"/>
        </w:rPr>
        <w:t> </w:t>
      </w:r>
      <w:r>
        <w:rPr>
          <w:sz w:val="20"/>
        </w:rPr>
        <w:t>and</w:t>
      </w:r>
    </w:p>
    <w:p>
      <w:pPr>
        <w:pStyle w:val="BodyText"/>
        <w:spacing w:before="3"/>
        <w:rPr>
          <w:sz w:val="21"/>
        </w:rPr>
      </w:pPr>
    </w:p>
    <w:p>
      <w:pPr>
        <w:pStyle w:val="ListParagraph"/>
        <w:numPr>
          <w:ilvl w:val="1"/>
          <w:numId w:val="1"/>
        </w:numPr>
        <w:tabs>
          <w:tab w:pos="1559" w:val="left" w:leader="none"/>
          <w:tab w:pos="1560" w:val="left" w:leader="none"/>
        </w:tabs>
        <w:spacing w:line="350" w:lineRule="auto" w:before="0" w:after="0"/>
        <w:ind w:left="1559" w:right="1198" w:hanging="720"/>
        <w:jc w:val="both"/>
        <w:rPr>
          <w:sz w:val="20"/>
        </w:rPr>
      </w:pPr>
      <w:r>
        <w:rPr>
          <w:sz w:val="20"/>
        </w:rPr>
        <w:t>GSFC</w:t>
      </w:r>
      <w:r>
        <w:rPr>
          <w:spacing w:val="-4"/>
          <w:sz w:val="20"/>
        </w:rPr>
        <w:t> </w:t>
      </w:r>
      <w:r>
        <w:rPr>
          <w:sz w:val="20"/>
        </w:rPr>
        <w:t>and</w:t>
      </w:r>
      <w:r>
        <w:rPr>
          <w:spacing w:val="-3"/>
          <w:sz w:val="20"/>
        </w:rPr>
        <w:t> </w:t>
      </w:r>
      <w:r>
        <w:rPr>
          <w:sz w:val="20"/>
        </w:rPr>
        <w:t>the</w:t>
      </w:r>
      <w:r>
        <w:rPr>
          <w:spacing w:val="-4"/>
          <w:sz w:val="20"/>
        </w:rPr>
        <w:t> </w:t>
      </w:r>
      <w:r>
        <w:rPr>
          <w:sz w:val="20"/>
        </w:rPr>
        <w:t>GSFC</w:t>
      </w:r>
      <w:r>
        <w:rPr>
          <w:spacing w:val="-3"/>
          <w:sz w:val="20"/>
        </w:rPr>
        <w:t> </w:t>
      </w:r>
      <w:r>
        <w:rPr>
          <w:sz w:val="20"/>
        </w:rPr>
        <w:t>Nominees</w:t>
      </w:r>
      <w:r>
        <w:rPr>
          <w:spacing w:val="-4"/>
          <w:sz w:val="20"/>
        </w:rPr>
        <w:t> </w:t>
      </w:r>
      <w:r>
        <w:rPr>
          <w:sz w:val="20"/>
        </w:rPr>
        <w:t>decided</w:t>
      </w:r>
      <w:r>
        <w:rPr>
          <w:spacing w:val="-3"/>
          <w:sz w:val="20"/>
        </w:rPr>
        <w:t> </w:t>
      </w:r>
      <w:r>
        <w:rPr>
          <w:sz w:val="20"/>
        </w:rPr>
        <w:t>that</w:t>
      </w:r>
      <w:r>
        <w:rPr>
          <w:spacing w:val="-4"/>
          <w:sz w:val="20"/>
        </w:rPr>
        <w:t> </w:t>
      </w:r>
      <w:r>
        <w:rPr>
          <w:sz w:val="20"/>
        </w:rPr>
        <w:t>they</w:t>
      </w:r>
      <w:r>
        <w:rPr>
          <w:spacing w:val="-3"/>
          <w:sz w:val="20"/>
        </w:rPr>
        <w:t> </w:t>
      </w:r>
      <w:r>
        <w:rPr>
          <w:sz w:val="20"/>
        </w:rPr>
        <w:t>would</w:t>
      </w:r>
      <w:r>
        <w:rPr>
          <w:spacing w:val="-3"/>
          <w:sz w:val="20"/>
        </w:rPr>
        <w:t> </w:t>
      </w:r>
      <w:r>
        <w:rPr>
          <w:sz w:val="20"/>
        </w:rPr>
        <w:t>not</w:t>
      </w:r>
      <w:r>
        <w:rPr>
          <w:spacing w:val="-5"/>
          <w:sz w:val="20"/>
        </w:rPr>
        <w:t> </w:t>
      </w:r>
      <w:r>
        <w:rPr>
          <w:sz w:val="20"/>
        </w:rPr>
        <w:t>relinquish</w:t>
      </w:r>
      <w:r>
        <w:rPr>
          <w:spacing w:val="-3"/>
          <w:sz w:val="20"/>
        </w:rPr>
        <w:t> </w:t>
      </w:r>
      <w:r>
        <w:rPr>
          <w:sz w:val="20"/>
        </w:rPr>
        <w:t>control</w:t>
      </w:r>
      <w:r>
        <w:rPr>
          <w:spacing w:val="-5"/>
          <w:sz w:val="20"/>
        </w:rPr>
        <w:t> </w:t>
      </w:r>
      <w:r>
        <w:rPr>
          <w:sz w:val="20"/>
        </w:rPr>
        <w:t>of</w:t>
      </w:r>
      <w:r>
        <w:rPr>
          <w:spacing w:val="-5"/>
          <w:sz w:val="20"/>
        </w:rPr>
        <w:t> </w:t>
      </w:r>
      <w:r>
        <w:rPr>
          <w:sz w:val="20"/>
        </w:rPr>
        <w:t>the</w:t>
      </w:r>
      <w:r>
        <w:rPr>
          <w:spacing w:val="-3"/>
          <w:sz w:val="20"/>
        </w:rPr>
        <w:t> </w:t>
      </w:r>
      <w:r>
        <w:rPr>
          <w:sz w:val="20"/>
        </w:rPr>
        <w:t>KRN Board.</w:t>
      </w:r>
    </w:p>
    <w:p>
      <w:pPr>
        <w:pStyle w:val="BodyText"/>
        <w:spacing w:before="7"/>
        <w:rPr>
          <w:sz w:val="21"/>
        </w:rPr>
      </w:pPr>
    </w:p>
    <w:p>
      <w:pPr>
        <w:pStyle w:val="Heading1"/>
        <w:numPr>
          <w:ilvl w:val="0"/>
          <w:numId w:val="2"/>
        </w:numPr>
        <w:tabs>
          <w:tab w:pos="839" w:val="left" w:leader="none"/>
          <w:tab w:pos="841" w:val="left" w:leader="none"/>
        </w:tabs>
        <w:spacing w:line="240" w:lineRule="auto" w:before="0" w:after="0"/>
        <w:ind w:left="840" w:right="0" w:hanging="721"/>
        <w:jc w:val="left"/>
        <w:rPr>
          <w:u w:val="none"/>
        </w:rPr>
      </w:pPr>
      <w:r>
        <w:rPr>
          <w:u w:val="thick"/>
        </w:rPr>
        <w:t>GSFC Exercises its Control of the KRN</w:t>
      </w:r>
      <w:r>
        <w:rPr>
          <w:spacing w:val="-18"/>
          <w:u w:val="thick"/>
        </w:rPr>
        <w:t> </w:t>
      </w:r>
      <w:r>
        <w:rPr>
          <w:u w:val="thick"/>
        </w:rPr>
        <w:t>Board</w:t>
      </w:r>
    </w:p>
    <w:p>
      <w:pPr>
        <w:pStyle w:val="BodyText"/>
        <w:spacing w:before="9"/>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I</w:t>
      </w:r>
      <w:r>
        <w:rPr>
          <w:spacing w:val="-5"/>
          <w:sz w:val="20"/>
        </w:rPr>
        <w:t> </w:t>
      </w:r>
      <w:r>
        <w:rPr>
          <w:sz w:val="20"/>
        </w:rPr>
        <w:t>verily</w:t>
      </w:r>
      <w:r>
        <w:rPr>
          <w:spacing w:val="-4"/>
          <w:sz w:val="20"/>
        </w:rPr>
        <w:t> </w:t>
      </w:r>
      <w:r>
        <w:rPr>
          <w:sz w:val="20"/>
        </w:rPr>
        <w:t>believe</w:t>
      </w:r>
      <w:r>
        <w:rPr>
          <w:spacing w:val="-4"/>
          <w:sz w:val="20"/>
        </w:rPr>
        <w:t> </w:t>
      </w:r>
      <w:r>
        <w:rPr>
          <w:sz w:val="20"/>
        </w:rPr>
        <w:t>that,</w:t>
      </w:r>
      <w:r>
        <w:rPr>
          <w:spacing w:val="-4"/>
          <w:sz w:val="20"/>
        </w:rPr>
        <w:t> </w:t>
      </w:r>
      <w:r>
        <w:rPr>
          <w:sz w:val="20"/>
        </w:rPr>
        <w:t>during</w:t>
      </w:r>
      <w:r>
        <w:rPr>
          <w:spacing w:val="-3"/>
          <w:sz w:val="20"/>
        </w:rPr>
        <w:t> </w:t>
      </w:r>
      <w:r>
        <w:rPr>
          <w:sz w:val="20"/>
        </w:rPr>
        <w:t>the</w:t>
      </w:r>
      <w:r>
        <w:rPr>
          <w:spacing w:val="-4"/>
          <w:sz w:val="20"/>
        </w:rPr>
        <w:t> </w:t>
      </w:r>
      <w:r>
        <w:rPr>
          <w:sz w:val="20"/>
        </w:rPr>
        <w:t>first</w:t>
      </w:r>
      <w:r>
        <w:rPr>
          <w:spacing w:val="-5"/>
          <w:sz w:val="20"/>
        </w:rPr>
        <w:t> </w:t>
      </w:r>
      <w:r>
        <w:rPr>
          <w:sz w:val="20"/>
        </w:rPr>
        <w:t>half</w:t>
      </w:r>
      <w:r>
        <w:rPr>
          <w:spacing w:val="-5"/>
          <w:sz w:val="20"/>
        </w:rPr>
        <w:t> </w:t>
      </w:r>
      <w:r>
        <w:rPr>
          <w:sz w:val="20"/>
        </w:rPr>
        <w:t>of</w:t>
      </w:r>
      <w:r>
        <w:rPr>
          <w:spacing w:val="-4"/>
          <w:sz w:val="20"/>
        </w:rPr>
        <w:t> </w:t>
      </w:r>
      <w:r>
        <w:rPr>
          <w:sz w:val="20"/>
        </w:rPr>
        <w:t>2019,</w:t>
      </w:r>
      <w:r>
        <w:rPr>
          <w:spacing w:val="-5"/>
          <w:sz w:val="20"/>
        </w:rPr>
        <w:t> </w:t>
      </w:r>
      <w:r>
        <w:rPr>
          <w:sz w:val="20"/>
        </w:rPr>
        <w:t>and</w:t>
      </w:r>
      <w:r>
        <w:rPr>
          <w:spacing w:val="-4"/>
          <w:sz w:val="20"/>
        </w:rPr>
        <w:t> </w:t>
      </w:r>
      <w:r>
        <w:rPr>
          <w:sz w:val="20"/>
        </w:rPr>
        <w:t>based</w:t>
      </w:r>
      <w:r>
        <w:rPr>
          <w:spacing w:val="-4"/>
          <w:sz w:val="20"/>
        </w:rPr>
        <w:t> </w:t>
      </w:r>
      <w:r>
        <w:rPr>
          <w:sz w:val="20"/>
        </w:rPr>
        <w:t>on</w:t>
      </w:r>
      <w:r>
        <w:rPr>
          <w:spacing w:val="-4"/>
          <w:sz w:val="20"/>
        </w:rPr>
        <w:t> </w:t>
      </w:r>
      <w:r>
        <w:rPr>
          <w:sz w:val="20"/>
        </w:rPr>
        <w:t>KRN’s</w:t>
      </w:r>
      <w:r>
        <w:rPr>
          <w:spacing w:val="-3"/>
          <w:sz w:val="20"/>
        </w:rPr>
        <w:t> </w:t>
      </w:r>
      <w:r>
        <w:rPr>
          <w:sz w:val="20"/>
        </w:rPr>
        <w:t>public</w:t>
      </w:r>
      <w:r>
        <w:rPr>
          <w:spacing w:val="-4"/>
          <w:sz w:val="20"/>
        </w:rPr>
        <w:t> </w:t>
      </w:r>
      <w:r>
        <w:rPr>
          <w:sz w:val="20"/>
        </w:rPr>
        <w:t>disclosure,</w:t>
      </w:r>
      <w:r>
        <w:rPr>
          <w:spacing w:val="-5"/>
          <w:sz w:val="20"/>
        </w:rPr>
        <w:t> </w:t>
      </w:r>
      <w:r>
        <w:rPr>
          <w:sz w:val="20"/>
        </w:rPr>
        <w:t>GSFC</w:t>
      </w:r>
      <w:r>
        <w:rPr>
          <w:spacing w:val="-4"/>
          <w:sz w:val="20"/>
        </w:rPr>
        <w:t> </w:t>
      </w:r>
      <w:r>
        <w:rPr>
          <w:sz w:val="20"/>
        </w:rPr>
        <w:t>had total control of the KRN Board, and that all activity and progress on the Nitrogen Project that occurred during 2018, had completely</w:t>
      </w:r>
      <w:r>
        <w:rPr>
          <w:spacing w:val="-8"/>
          <w:sz w:val="20"/>
        </w:rPr>
        <w:t> </w:t>
      </w:r>
      <w:r>
        <w:rPr>
          <w:sz w:val="20"/>
        </w:rPr>
        <w:t>stalled.</w:t>
      </w:r>
    </w:p>
    <w:p>
      <w:pPr>
        <w:pStyle w:val="BodyText"/>
        <w:spacing w:before="9"/>
      </w:pPr>
    </w:p>
    <w:p>
      <w:pPr>
        <w:pStyle w:val="ListParagraph"/>
        <w:numPr>
          <w:ilvl w:val="0"/>
          <w:numId w:val="1"/>
        </w:numPr>
        <w:tabs>
          <w:tab w:pos="841" w:val="left" w:leader="none"/>
        </w:tabs>
        <w:spacing w:line="360" w:lineRule="auto" w:before="1" w:after="0"/>
        <w:ind w:left="840" w:right="1197" w:hanging="721"/>
        <w:jc w:val="both"/>
        <w:rPr>
          <w:sz w:val="20"/>
        </w:rPr>
      </w:pPr>
      <w:r>
        <w:rPr>
          <w:sz w:val="20"/>
        </w:rPr>
        <w:t>I am advised by Rowan, and verily believe, that Rowan had presented four (4) qualified, independent candidates to fill the three (3) vacancies, but that Varma had rejected all of them out of hand. The three (3) vacancies on the KRN Board were never</w:t>
      </w:r>
      <w:r>
        <w:rPr>
          <w:spacing w:val="-15"/>
          <w:sz w:val="20"/>
        </w:rPr>
        <w:t> </w:t>
      </w:r>
      <w:r>
        <w:rPr>
          <w:sz w:val="20"/>
        </w:rPr>
        <w:t>filed.</w:t>
      </w:r>
    </w:p>
    <w:p>
      <w:pPr>
        <w:pStyle w:val="BodyText"/>
        <w:spacing w:before="10"/>
      </w:pPr>
    </w:p>
    <w:p>
      <w:pPr>
        <w:pStyle w:val="ListParagraph"/>
        <w:numPr>
          <w:ilvl w:val="0"/>
          <w:numId w:val="1"/>
        </w:numPr>
        <w:tabs>
          <w:tab w:pos="841" w:val="left" w:leader="none"/>
        </w:tabs>
        <w:spacing w:line="360" w:lineRule="auto" w:before="0" w:after="0"/>
        <w:ind w:left="840" w:right="1197" w:hanging="721"/>
        <w:jc w:val="both"/>
        <w:rPr>
          <w:sz w:val="20"/>
        </w:rPr>
      </w:pPr>
      <w:r>
        <w:rPr>
          <w:sz w:val="20"/>
        </w:rPr>
        <w:t>I verily believe that KRN was not spending the monies I had personally invested in the Rights Offering</w:t>
      </w:r>
      <w:r>
        <w:rPr>
          <w:spacing w:val="-6"/>
          <w:sz w:val="20"/>
        </w:rPr>
        <w:t> </w:t>
      </w:r>
      <w:r>
        <w:rPr>
          <w:sz w:val="20"/>
        </w:rPr>
        <w:t>to</w:t>
      </w:r>
      <w:r>
        <w:rPr>
          <w:spacing w:val="-6"/>
          <w:sz w:val="20"/>
        </w:rPr>
        <w:t> </w:t>
      </w:r>
      <w:r>
        <w:rPr>
          <w:sz w:val="20"/>
        </w:rPr>
        <w:t>advance</w:t>
      </w:r>
      <w:r>
        <w:rPr>
          <w:spacing w:val="-6"/>
          <w:sz w:val="20"/>
        </w:rPr>
        <w:t> </w:t>
      </w:r>
      <w:r>
        <w:rPr>
          <w:sz w:val="20"/>
        </w:rPr>
        <w:t>the</w:t>
      </w:r>
      <w:r>
        <w:rPr>
          <w:spacing w:val="-6"/>
          <w:sz w:val="20"/>
        </w:rPr>
        <w:t> </w:t>
      </w:r>
      <w:r>
        <w:rPr>
          <w:sz w:val="20"/>
        </w:rPr>
        <w:t>Nitrogen</w:t>
      </w:r>
      <w:r>
        <w:rPr>
          <w:spacing w:val="-5"/>
          <w:sz w:val="20"/>
        </w:rPr>
        <w:t> </w:t>
      </w:r>
      <w:r>
        <w:rPr>
          <w:sz w:val="20"/>
        </w:rPr>
        <w:t>Project.</w:t>
      </w:r>
      <w:r>
        <w:rPr>
          <w:spacing w:val="43"/>
          <w:sz w:val="20"/>
        </w:rPr>
        <w:t> </w:t>
      </w:r>
      <w:r>
        <w:rPr>
          <w:sz w:val="20"/>
        </w:rPr>
        <w:t>I</w:t>
      </w:r>
      <w:r>
        <w:rPr>
          <w:spacing w:val="-6"/>
          <w:sz w:val="20"/>
        </w:rPr>
        <w:t> </w:t>
      </w:r>
      <w:r>
        <w:rPr>
          <w:sz w:val="20"/>
        </w:rPr>
        <w:t>would</w:t>
      </w:r>
      <w:r>
        <w:rPr>
          <w:spacing w:val="-6"/>
          <w:sz w:val="20"/>
        </w:rPr>
        <w:t> </w:t>
      </w:r>
      <w:r>
        <w:rPr>
          <w:sz w:val="20"/>
        </w:rPr>
        <w:t>not</w:t>
      </w:r>
      <w:r>
        <w:rPr>
          <w:spacing w:val="-7"/>
          <w:sz w:val="20"/>
        </w:rPr>
        <w:t> </w:t>
      </w:r>
      <w:r>
        <w:rPr>
          <w:sz w:val="20"/>
        </w:rPr>
        <w:t>have</w:t>
      </w:r>
      <w:r>
        <w:rPr>
          <w:spacing w:val="-5"/>
          <w:sz w:val="20"/>
        </w:rPr>
        <w:t> </w:t>
      </w:r>
      <w:r>
        <w:rPr>
          <w:sz w:val="20"/>
        </w:rPr>
        <w:t>invested</w:t>
      </w:r>
      <w:r>
        <w:rPr>
          <w:spacing w:val="-6"/>
          <w:sz w:val="20"/>
        </w:rPr>
        <w:t> </w:t>
      </w:r>
      <w:r>
        <w:rPr>
          <w:sz w:val="20"/>
        </w:rPr>
        <w:t>in</w:t>
      </w:r>
      <w:r>
        <w:rPr>
          <w:spacing w:val="-6"/>
          <w:sz w:val="20"/>
        </w:rPr>
        <w:t> </w:t>
      </w:r>
      <w:r>
        <w:rPr>
          <w:sz w:val="20"/>
        </w:rPr>
        <w:t>the</w:t>
      </w:r>
      <w:r>
        <w:rPr>
          <w:spacing w:val="-6"/>
          <w:sz w:val="20"/>
        </w:rPr>
        <w:t> </w:t>
      </w:r>
      <w:r>
        <w:rPr>
          <w:sz w:val="20"/>
        </w:rPr>
        <w:t>Rights</w:t>
      </w:r>
      <w:r>
        <w:rPr>
          <w:spacing w:val="-6"/>
          <w:sz w:val="20"/>
        </w:rPr>
        <w:t> </w:t>
      </w:r>
      <w:r>
        <w:rPr>
          <w:sz w:val="20"/>
        </w:rPr>
        <w:t>Offering</w:t>
      </w:r>
      <w:r>
        <w:rPr>
          <w:spacing w:val="-5"/>
          <w:sz w:val="20"/>
        </w:rPr>
        <w:t> </w:t>
      </w:r>
      <w:r>
        <w:rPr>
          <w:sz w:val="20"/>
        </w:rPr>
        <w:t>if</w:t>
      </w:r>
      <w:r>
        <w:rPr>
          <w:spacing w:val="-7"/>
          <w:sz w:val="20"/>
        </w:rPr>
        <w:t> </w:t>
      </w:r>
      <w:r>
        <w:rPr>
          <w:sz w:val="20"/>
        </w:rPr>
        <w:t>I</w:t>
      </w:r>
      <w:r>
        <w:rPr>
          <w:spacing w:val="-6"/>
          <w:sz w:val="20"/>
        </w:rPr>
        <w:t> </w:t>
      </w:r>
      <w:r>
        <w:rPr>
          <w:sz w:val="20"/>
        </w:rPr>
        <w:t>knew that the KRN Board and management would not use my investment for the purposes for which it was made.</w:t>
      </w:r>
    </w:p>
    <w:p>
      <w:pPr>
        <w:pStyle w:val="BodyText"/>
        <w:spacing w:before="11"/>
      </w:pPr>
    </w:p>
    <w:p>
      <w:pPr>
        <w:pStyle w:val="ListParagraph"/>
        <w:numPr>
          <w:ilvl w:val="0"/>
          <w:numId w:val="1"/>
        </w:numPr>
        <w:tabs>
          <w:tab w:pos="841" w:val="left" w:leader="none"/>
        </w:tabs>
        <w:spacing w:line="360" w:lineRule="auto" w:before="0" w:after="0"/>
        <w:ind w:left="839" w:right="1197" w:hanging="720"/>
        <w:jc w:val="both"/>
        <w:rPr>
          <w:sz w:val="20"/>
        </w:rPr>
      </w:pPr>
      <w:r>
        <w:rPr>
          <w:sz w:val="20"/>
        </w:rPr>
        <w:t>At the annual general meeting of shareholders of KRN held on May 14, 2019 (the “</w:t>
      </w:r>
      <w:r>
        <w:rPr>
          <w:b/>
          <w:sz w:val="20"/>
        </w:rPr>
        <w:t>2019 AGM</w:t>
      </w:r>
      <w:r>
        <w:rPr>
          <w:sz w:val="20"/>
        </w:rPr>
        <w:t>”), the three (3) incumbent directors were re-elected, and no independent directors were nominated for election, or elected to, the KRN Board. Attached and marked as </w:t>
      </w:r>
      <w:r>
        <w:rPr>
          <w:b/>
          <w:sz w:val="20"/>
        </w:rPr>
        <w:t>Exhibit “P” </w:t>
      </w:r>
      <w:r>
        <w:rPr>
          <w:sz w:val="20"/>
        </w:rPr>
        <w:t>to the FDW Affidavit is a copy of the voting results for the 2019</w:t>
      </w:r>
      <w:r>
        <w:rPr>
          <w:spacing w:val="-10"/>
          <w:sz w:val="20"/>
        </w:rPr>
        <w:t> </w:t>
      </w:r>
      <w:r>
        <w:rPr>
          <w:sz w:val="20"/>
        </w:rPr>
        <w:t>AGM.</w:t>
      </w:r>
    </w:p>
    <w:p>
      <w:pPr>
        <w:spacing w:after="0" w:line="360" w:lineRule="auto"/>
        <w:jc w:val="both"/>
        <w:rPr>
          <w:sz w:val="20"/>
        </w:rPr>
        <w:sectPr>
          <w:footerReference w:type="default" r:id="rId9"/>
          <w:pgSz w:w="12240" w:h="15840"/>
          <w:pgMar w:footer="971" w:header="0" w:top="1220" w:bottom="1160" w:left="1320" w:right="240"/>
          <w:pgNumType w:start="8"/>
        </w:sectPr>
      </w:pPr>
    </w:p>
    <w:p>
      <w:pPr>
        <w:pStyle w:val="ListParagraph"/>
        <w:numPr>
          <w:ilvl w:val="0"/>
          <w:numId w:val="1"/>
        </w:numPr>
        <w:tabs>
          <w:tab w:pos="841" w:val="left" w:leader="none"/>
        </w:tabs>
        <w:spacing w:line="360" w:lineRule="auto" w:before="75" w:after="0"/>
        <w:ind w:left="839" w:right="1195" w:hanging="720"/>
        <w:jc w:val="both"/>
        <w:rPr>
          <w:sz w:val="20"/>
        </w:rPr>
      </w:pPr>
      <w:r>
        <w:rPr>
          <w:sz w:val="20"/>
        </w:rPr>
        <w:t>I</w:t>
      </w:r>
      <w:r>
        <w:rPr>
          <w:spacing w:val="-10"/>
          <w:sz w:val="20"/>
        </w:rPr>
        <w:t> </w:t>
      </w:r>
      <w:r>
        <w:rPr>
          <w:sz w:val="20"/>
        </w:rPr>
        <w:t>verily</w:t>
      </w:r>
      <w:r>
        <w:rPr>
          <w:spacing w:val="-9"/>
          <w:sz w:val="20"/>
        </w:rPr>
        <w:t> </w:t>
      </w:r>
      <w:r>
        <w:rPr>
          <w:sz w:val="20"/>
        </w:rPr>
        <w:t>believe</w:t>
      </w:r>
      <w:r>
        <w:rPr>
          <w:spacing w:val="-9"/>
          <w:sz w:val="20"/>
        </w:rPr>
        <w:t> </w:t>
      </w:r>
      <w:r>
        <w:rPr>
          <w:sz w:val="20"/>
        </w:rPr>
        <w:t>that</w:t>
      </w:r>
      <w:r>
        <w:rPr>
          <w:spacing w:val="-11"/>
          <w:sz w:val="20"/>
        </w:rPr>
        <w:t> </w:t>
      </w:r>
      <w:r>
        <w:rPr>
          <w:sz w:val="20"/>
        </w:rPr>
        <w:t>GSFC</w:t>
      </w:r>
      <w:r>
        <w:rPr>
          <w:spacing w:val="-9"/>
          <w:sz w:val="20"/>
        </w:rPr>
        <w:t> </w:t>
      </w:r>
      <w:r>
        <w:rPr>
          <w:sz w:val="20"/>
        </w:rPr>
        <w:t>and</w:t>
      </w:r>
      <w:r>
        <w:rPr>
          <w:spacing w:val="-10"/>
          <w:sz w:val="20"/>
        </w:rPr>
        <w:t> </w:t>
      </w:r>
      <w:r>
        <w:rPr>
          <w:sz w:val="20"/>
        </w:rPr>
        <w:t>the</w:t>
      </w:r>
      <w:r>
        <w:rPr>
          <w:spacing w:val="-9"/>
          <w:sz w:val="20"/>
        </w:rPr>
        <w:t> </w:t>
      </w:r>
      <w:r>
        <w:rPr>
          <w:sz w:val="20"/>
        </w:rPr>
        <w:t>GSFC</w:t>
      </w:r>
      <w:r>
        <w:rPr>
          <w:spacing w:val="-10"/>
          <w:sz w:val="20"/>
        </w:rPr>
        <w:t> </w:t>
      </w:r>
      <w:r>
        <w:rPr>
          <w:sz w:val="20"/>
        </w:rPr>
        <w:t>Nominees</w:t>
      </w:r>
      <w:r>
        <w:rPr>
          <w:spacing w:val="-9"/>
          <w:sz w:val="20"/>
        </w:rPr>
        <w:t> </w:t>
      </w:r>
      <w:r>
        <w:rPr>
          <w:sz w:val="20"/>
        </w:rPr>
        <w:t>intentionally</w:t>
      </w:r>
      <w:r>
        <w:rPr>
          <w:spacing w:val="-9"/>
          <w:sz w:val="20"/>
        </w:rPr>
        <w:t> </w:t>
      </w:r>
      <w:r>
        <w:rPr>
          <w:sz w:val="20"/>
        </w:rPr>
        <w:t>did</w:t>
      </w:r>
      <w:r>
        <w:rPr>
          <w:spacing w:val="-9"/>
          <w:sz w:val="20"/>
        </w:rPr>
        <w:t> </w:t>
      </w:r>
      <w:r>
        <w:rPr>
          <w:sz w:val="20"/>
        </w:rPr>
        <w:t>not</w:t>
      </w:r>
      <w:r>
        <w:rPr>
          <w:spacing w:val="-11"/>
          <w:sz w:val="20"/>
        </w:rPr>
        <w:t> </w:t>
      </w:r>
      <w:r>
        <w:rPr>
          <w:sz w:val="20"/>
        </w:rPr>
        <w:t>nominate</w:t>
      </w:r>
      <w:r>
        <w:rPr>
          <w:spacing w:val="-9"/>
          <w:sz w:val="20"/>
        </w:rPr>
        <w:t> </w:t>
      </w:r>
      <w:r>
        <w:rPr>
          <w:sz w:val="20"/>
        </w:rPr>
        <w:t>any</w:t>
      </w:r>
      <w:r>
        <w:rPr>
          <w:spacing w:val="-9"/>
          <w:sz w:val="20"/>
        </w:rPr>
        <w:t> </w:t>
      </w:r>
      <w:r>
        <w:rPr>
          <w:sz w:val="20"/>
        </w:rPr>
        <w:t>independent directors for election at the 2019 AGM, in an effort to keep total control of the KRN Board, and I verily believe that the fact they did not nominate even one (1) independent candidate for election as a director, confirms my</w:t>
      </w:r>
      <w:r>
        <w:rPr>
          <w:spacing w:val="-4"/>
          <w:sz w:val="20"/>
        </w:rPr>
        <w:t> </w:t>
      </w:r>
      <w:r>
        <w:rPr>
          <w:sz w:val="20"/>
        </w:rPr>
        <w:t>belief.</w:t>
      </w:r>
    </w:p>
    <w:p>
      <w:pPr>
        <w:pStyle w:val="BodyText"/>
        <w:spacing w:before="10"/>
      </w:pPr>
    </w:p>
    <w:p>
      <w:pPr>
        <w:pStyle w:val="Heading1"/>
        <w:numPr>
          <w:ilvl w:val="0"/>
          <w:numId w:val="2"/>
        </w:numPr>
        <w:tabs>
          <w:tab w:pos="839" w:val="left" w:leader="none"/>
          <w:tab w:pos="841" w:val="left" w:leader="none"/>
        </w:tabs>
        <w:spacing w:line="240" w:lineRule="auto" w:before="0" w:after="0"/>
        <w:ind w:left="840" w:right="0" w:hanging="721"/>
        <w:jc w:val="left"/>
        <w:rPr>
          <w:u w:val="none"/>
        </w:rPr>
      </w:pPr>
      <w:r>
        <w:rPr>
          <w:u w:val="thick"/>
        </w:rPr>
        <w:t>GSFC Increases its Control of the KRN Board and Tightens Its Grip on</w:t>
      </w:r>
      <w:r>
        <w:rPr>
          <w:spacing w:val="-14"/>
          <w:u w:val="thick"/>
        </w:rPr>
        <w:t> </w:t>
      </w:r>
      <w:r>
        <w:rPr>
          <w:u w:val="thick"/>
        </w:rPr>
        <w:t>KRN</w:t>
      </w:r>
    </w:p>
    <w:p>
      <w:pPr>
        <w:pStyle w:val="BodyText"/>
        <w:spacing w:before="8"/>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On August 8, 2019, Anjaria, a director of GSFC, was appointed to the KRN Board, giving GSFC three</w:t>
      </w:r>
      <w:r>
        <w:rPr>
          <w:spacing w:val="-6"/>
          <w:sz w:val="20"/>
        </w:rPr>
        <w:t> </w:t>
      </w:r>
      <w:r>
        <w:rPr>
          <w:sz w:val="20"/>
        </w:rPr>
        <w:t>(3)</w:t>
      </w:r>
      <w:r>
        <w:rPr>
          <w:spacing w:val="-6"/>
          <w:sz w:val="20"/>
        </w:rPr>
        <w:t> </w:t>
      </w:r>
      <w:r>
        <w:rPr>
          <w:sz w:val="20"/>
        </w:rPr>
        <w:t>of</w:t>
      </w:r>
      <w:r>
        <w:rPr>
          <w:spacing w:val="-6"/>
          <w:sz w:val="20"/>
        </w:rPr>
        <w:t> </w:t>
      </w:r>
      <w:r>
        <w:rPr>
          <w:sz w:val="20"/>
        </w:rPr>
        <w:t>the</w:t>
      </w:r>
      <w:r>
        <w:rPr>
          <w:spacing w:val="-6"/>
          <w:sz w:val="20"/>
        </w:rPr>
        <w:t> </w:t>
      </w:r>
      <w:r>
        <w:rPr>
          <w:sz w:val="20"/>
        </w:rPr>
        <w:t>four</w:t>
      </w:r>
      <w:r>
        <w:rPr>
          <w:spacing w:val="-5"/>
          <w:sz w:val="20"/>
        </w:rPr>
        <w:t> </w:t>
      </w:r>
      <w:r>
        <w:rPr>
          <w:sz w:val="20"/>
        </w:rPr>
        <w:t>(4)</w:t>
      </w:r>
      <w:r>
        <w:rPr>
          <w:spacing w:val="-6"/>
          <w:sz w:val="20"/>
        </w:rPr>
        <w:t> </w:t>
      </w:r>
      <w:r>
        <w:rPr>
          <w:sz w:val="20"/>
        </w:rPr>
        <w:t>seats</w:t>
      </w:r>
      <w:r>
        <w:rPr>
          <w:spacing w:val="-6"/>
          <w:sz w:val="20"/>
        </w:rPr>
        <w:t> </w:t>
      </w:r>
      <w:r>
        <w:rPr>
          <w:sz w:val="20"/>
        </w:rPr>
        <w:t>on</w:t>
      </w:r>
      <w:r>
        <w:rPr>
          <w:spacing w:val="-5"/>
          <w:sz w:val="20"/>
        </w:rPr>
        <w:t> </w:t>
      </w:r>
      <w:r>
        <w:rPr>
          <w:sz w:val="20"/>
        </w:rPr>
        <w:t>the</w:t>
      </w:r>
      <w:r>
        <w:rPr>
          <w:spacing w:val="-6"/>
          <w:sz w:val="20"/>
        </w:rPr>
        <w:t> </w:t>
      </w:r>
      <w:r>
        <w:rPr>
          <w:sz w:val="20"/>
        </w:rPr>
        <w:t>KRN</w:t>
      </w:r>
      <w:r>
        <w:rPr>
          <w:spacing w:val="-5"/>
          <w:sz w:val="20"/>
        </w:rPr>
        <w:t> </w:t>
      </w:r>
      <w:r>
        <w:rPr>
          <w:sz w:val="20"/>
        </w:rPr>
        <w:t>Board.</w:t>
      </w:r>
      <w:r>
        <w:rPr>
          <w:spacing w:val="43"/>
          <w:sz w:val="20"/>
        </w:rPr>
        <w:t> </w:t>
      </w:r>
      <w:r>
        <w:rPr>
          <w:sz w:val="20"/>
        </w:rPr>
        <w:t>Attached</w:t>
      </w:r>
      <w:r>
        <w:rPr>
          <w:spacing w:val="-6"/>
          <w:sz w:val="20"/>
        </w:rPr>
        <w:t> </w:t>
      </w:r>
      <w:r>
        <w:rPr>
          <w:sz w:val="20"/>
        </w:rPr>
        <w:t>and</w:t>
      </w:r>
      <w:r>
        <w:rPr>
          <w:spacing w:val="-5"/>
          <w:sz w:val="20"/>
        </w:rPr>
        <w:t> </w:t>
      </w:r>
      <w:r>
        <w:rPr>
          <w:sz w:val="20"/>
        </w:rPr>
        <w:t>marked</w:t>
      </w:r>
      <w:r>
        <w:rPr>
          <w:spacing w:val="-6"/>
          <w:sz w:val="20"/>
        </w:rPr>
        <w:t> </w:t>
      </w:r>
      <w:r>
        <w:rPr>
          <w:sz w:val="20"/>
        </w:rPr>
        <w:t>as</w:t>
      </w:r>
      <w:r>
        <w:rPr>
          <w:spacing w:val="-5"/>
          <w:sz w:val="20"/>
        </w:rPr>
        <w:t> </w:t>
      </w:r>
      <w:r>
        <w:rPr>
          <w:b/>
          <w:sz w:val="20"/>
        </w:rPr>
        <w:t>Exhibit</w:t>
      </w:r>
      <w:r>
        <w:rPr>
          <w:b/>
          <w:spacing w:val="-6"/>
          <w:sz w:val="20"/>
        </w:rPr>
        <w:t> </w:t>
      </w:r>
      <w:r>
        <w:rPr>
          <w:b/>
          <w:sz w:val="20"/>
        </w:rPr>
        <w:t>“Q</w:t>
      </w:r>
      <w:r>
        <w:rPr>
          <w:sz w:val="20"/>
        </w:rPr>
        <w:t>”</w:t>
      </w:r>
      <w:r>
        <w:rPr>
          <w:spacing w:val="-6"/>
          <w:sz w:val="20"/>
        </w:rPr>
        <w:t> </w:t>
      </w:r>
      <w:r>
        <w:rPr>
          <w:sz w:val="20"/>
        </w:rPr>
        <w:t>to</w:t>
      </w:r>
      <w:r>
        <w:rPr>
          <w:spacing w:val="-5"/>
          <w:sz w:val="20"/>
        </w:rPr>
        <w:t> </w:t>
      </w:r>
      <w:r>
        <w:rPr>
          <w:sz w:val="20"/>
        </w:rPr>
        <w:t>the</w:t>
      </w:r>
      <w:r>
        <w:rPr>
          <w:spacing w:val="-6"/>
          <w:sz w:val="20"/>
        </w:rPr>
        <w:t> </w:t>
      </w:r>
      <w:r>
        <w:rPr>
          <w:sz w:val="20"/>
        </w:rPr>
        <w:t>FDW Affidavit is a copy of the Karnalyte press release dated August 9,</w:t>
      </w:r>
      <w:r>
        <w:rPr>
          <w:spacing w:val="-13"/>
          <w:sz w:val="20"/>
        </w:rPr>
        <w:t> </w:t>
      </w:r>
      <w:r>
        <w:rPr>
          <w:sz w:val="20"/>
        </w:rPr>
        <w:t>2019.</w:t>
      </w:r>
    </w:p>
    <w:p>
      <w:pPr>
        <w:pStyle w:val="BodyText"/>
        <w:spacing w:before="11"/>
      </w:pPr>
    </w:p>
    <w:p>
      <w:pPr>
        <w:pStyle w:val="ListParagraph"/>
        <w:numPr>
          <w:ilvl w:val="0"/>
          <w:numId w:val="1"/>
        </w:numPr>
        <w:tabs>
          <w:tab w:pos="841" w:val="left" w:leader="none"/>
        </w:tabs>
        <w:spacing w:line="360" w:lineRule="auto" w:before="0" w:after="0"/>
        <w:ind w:left="839" w:right="1196" w:hanging="720"/>
        <w:jc w:val="both"/>
        <w:rPr>
          <w:sz w:val="20"/>
        </w:rPr>
      </w:pPr>
      <w:r>
        <w:rPr>
          <w:sz w:val="20"/>
        </w:rPr>
        <w:t>I verily believe that by August 2019, GSFC was intentionally, and blatantly, expanding its total control</w:t>
      </w:r>
      <w:r>
        <w:rPr>
          <w:spacing w:val="-7"/>
          <w:sz w:val="20"/>
        </w:rPr>
        <w:t> </w:t>
      </w:r>
      <w:r>
        <w:rPr>
          <w:sz w:val="20"/>
        </w:rPr>
        <w:t>over</w:t>
      </w:r>
      <w:r>
        <w:rPr>
          <w:spacing w:val="-5"/>
          <w:sz w:val="20"/>
        </w:rPr>
        <w:t> </w:t>
      </w:r>
      <w:r>
        <w:rPr>
          <w:sz w:val="20"/>
        </w:rPr>
        <w:t>KRN</w:t>
      </w:r>
      <w:r>
        <w:rPr>
          <w:spacing w:val="-6"/>
          <w:sz w:val="20"/>
        </w:rPr>
        <w:t> </w:t>
      </w:r>
      <w:r>
        <w:rPr>
          <w:sz w:val="20"/>
        </w:rPr>
        <w:t>and</w:t>
      </w:r>
      <w:r>
        <w:rPr>
          <w:spacing w:val="-6"/>
          <w:sz w:val="20"/>
        </w:rPr>
        <w:t> </w:t>
      </w:r>
      <w:r>
        <w:rPr>
          <w:sz w:val="20"/>
        </w:rPr>
        <w:t>the</w:t>
      </w:r>
      <w:r>
        <w:rPr>
          <w:spacing w:val="-6"/>
          <w:sz w:val="20"/>
        </w:rPr>
        <w:t> </w:t>
      </w:r>
      <w:r>
        <w:rPr>
          <w:sz w:val="20"/>
        </w:rPr>
        <w:t>KRN</w:t>
      </w:r>
      <w:r>
        <w:rPr>
          <w:spacing w:val="-6"/>
          <w:sz w:val="20"/>
        </w:rPr>
        <w:t> </w:t>
      </w:r>
      <w:r>
        <w:rPr>
          <w:sz w:val="20"/>
        </w:rPr>
        <w:t>Board</w:t>
      </w:r>
      <w:r>
        <w:rPr>
          <w:spacing w:val="-6"/>
          <w:sz w:val="20"/>
        </w:rPr>
        <w:t> </w:t>
      </w:r>
      <w:r>
        <w:rPr>
          <w:sz w:val="20"/>
        </w:rPr>
        <w:t>by</w:t>
      </w:r>
      <w:r>
        <w:rPr>
          <w:spacing w:val="-6"/>
          <w:sz w:val="20"/>
        </w:rPr>
        <w:t> </w:t>
      </w:r>
      <w:r>
        <w:rPr>
          <w:sz w:val="20"/>
        </w:rPr>
        <w:t>appointing</w:t>
      </w:r>
      <w:r>
        <w:rPr>
          <w:spacing w:val="-6"/>
          <w:sz w:val="20"/>
        </w:rPr>
        <w:t> </w:t>
      </w:r>
      <w:r>
        <w:rPr>
          <w:sz w:val="20"/>
        </w:rPr>
        <w:t>Anjaria</w:t>
      </w:r>
      <w:r>
        <w:rPr>
          <w:spacing w:val="-5"/>
          <w:sz w:val="20"/>
        </w:rPr>
        <w:t> </w:t>
      </w:r>
      <w:r>
        <w:rPr>
          <w:sz w:val="20"/>
        </w:rPr>
        <w:t>to</w:t>
      </w:r>
      <w:r>
        <w:rPr>
          <w:spacing w:val="-5"/>
          <w:sz w:val="20"/>
        </w:rPr>
        <w:t> </w:t>
      </w:r>
      <w:r>
        <w:rPr>
          <w:sz w:val="20"/>
        </w:rPr>
        <w:t>the</w:t>
      </w:r>
      <w:r>
        <w:rPr>
          <w:spacing w:val="-7"/>
          <w:sz w:val="20"/>
        </w:rPr>
        <w:t> </w:t>
      </w:r>
      <w:r>
        <w:rPr>
          <w:sz w:val="20"/>
        </w:rPr>
        <w:t>KRN</w:t>
      </w:r>
      <w:r>
        <w:rPr>
          <w:spacing w:val="-5"/>
          <w:sz w:val="20"/>
        </w:rPr>
        <w:t> </w:t>
      </w:r>
      <w:r>
        <w:rPr>
          <w:sz w:val="20"/>
        </w:rPr>
        <w:t>Board.</w:t>
      </w:r>
      <w:r>
        <w:rPr>
          <w:spacing w:val="43"/>
          <w:sz w:val="20"/>
        </w:rPr>
        <w:t> </w:t>
      </w:r>
      <w:r>
        <w:rPr>
          <w:sz w:val="20"/>
        </w:rPr>
        <w:t>I</w:t>
      </w:r>
      <w:r>
        <w:rPr>
          <w:spacing w:val="-6"/>
          <w:sz w:val="20"/>
        </w:rPr>
        <w:t> </w:t>
      </w:r>
      <w:r>
        <w:rPr>
          <w:sz w:val="20"/>
        </w:rPr>
        <w:t>also</w:t>
      </w:r>
      <w:r>
        <w:rPr>
          <w:spacing w:val="-6"/>
          <w:sz w:val="20"/>
        </w:rPr>
        <w:t> </w:t>
      </w:r>
      <w:r>
        <w:rPr>
          <w:sz w:val="20"/>
        </w:rPr>
        <w:t>verily</w:t>
      </w:r>
      <w:r>
        <w:rPr>
          <w:spacing w:val="-6"/>
          <w:sz w:val="20"/>
        </w:rPr>
        <w:t> </w:t>
      </w:r>
      <w:r>
        <w:rPr>
          <w:sz w:val="20"/>
        </w:rPr>
        <w:t>believe that GFSC and Anjaria were lying when they stated that Anjaria was independent, and that it was done intentionally to try and hide the fact that GSFC had taken a stranglehold on the KRN</w:t>
      </w:r>
      <w:r>
        <w:rPr>
          <w:spacing w:val="-34"/>
          <w:sz w:val="20"/>
        </w:rPr>
        <w:t> </w:t>
      </w:r>
      <w:r>
        <w:rPr>
          <w:sz w:val="20"/>
        </w:rPr>
        <w:t>Board.</w:t>
      </w:r>
    </w:p>
    <w:p>
      <w:pPr>
        <w:pStyle w:val="BodyText"/>
        <w:spacing w:before="10"/>
      </w:pPr>
    </w:p>
    <w:p>
      <w:pPr>
        <w:pStyle w:val="ListParagraph"/>
        <w:numPr>
          <w:ilvl w:val="0"/>
          <w:numId w:val="1"/>
        </w:numPr>
        <w:tabs>
          <w:tab w:pos="840" w:val="left" w:leader="none"/>
        </w:tabs>
        <w:spacing w:line="360" w:lineRule="auto" w:before="0" w:after="0"/>
        <w:ind w:left="839" w:right="1198" w:hanging="721"/>
        <w:jc w:val="both"/>
        <w:rPr>
          <w:sz w:val="20"/>
        </w:rPr>
      </w:pPr>
      <w:r>
        <w:rPr>
          <w:sz w:val="20"/>
        </w:rPr>
        <w:t>I</w:t>
      </w:r>
      <w:r>
        <w:rPr>
          <w:spacing w:val="-12"/>
          <w:sz w:val="20"/>
        </w:rPr>
        <w:t> </w:t>
      </w:r>
      <w:r>
        <w:rPr>
          <w:sz w:val="20"/>
        </w:rPr>
        <w:t>am</w:t>
      </w:r>
      <w:r>
        <w:rPr>
          <w:spacing w:val="-11"/>
          <w:sz w:val="20"/>
        </w:rPr>
        <w:t> </w:t>
      </w:r>
      <w:r>
        <w:rPr>
          <w:sz w:val="20"/>
        </w:rPr>
        <w:t>advised</w:t>
      </w:r>
      <w:r>
        <w:rPr>
          <w:spacing w:val="-12"/>
          <w:sz w:val="20"/>
        </w:rPr>
        <w:t> </w:t>
      </w:r>
      <w:r>
        <w:rPr>
          <w:sz w:val="20"/>
        </w:rPr>
        <w:t>by</w:t>
      </w:r>
      <w:r>
        <w:rPr>
          <w:spacing w:val="-12"/>
          <w:sz w:val="20"/>
        </w:rPr>
        <w:t> </w:t>
      </w:r>
      <w:r>
        <w:rPr>
          <w:sz w:val="20"/>
        </w:rPr>
        <w:t>Rowan</w:t>
      </w:r>
      <w:r>
        <w:rPr>
          <w:spacing w:val="-10"/>
          <w:sz w:val="20"/>
        </w:rPr>
        <w:t> </w:t>
      </w:r>
      <w:r>
        <w:rPr>
          <w:sz w:val="20"/>
        </w:rPr>
        <w:t>and</w:t>
      </w:r>
      <w:r>
        <w:rPr>
          <w:spacing w:val="-11"/>
          <w:sz w:val="20"/>
        </w:rPr>
        <w:t> </w:t>
      </w:r>
      <w:r>
        <w:rPr>
          <w:sz w:val="20"/>
        </w:rPr>
        <w:t>Wheatley,</w:t>
      </w:r>
      <w:r>
        <w:rPr>
          <w:spacing w:val="-12"/>
          <w:sz w:val="20"/>
        </w:rPr>
        <w:t> </w:t>
      </w:r>
      <w:r>
        <w:rPr>
          <w:sz w:val="20"/>
        </w:rPr>
        <w:t>and</w:t>
      </w:r>
      <w:r>
        <w:rPr>
          <w:spacing w:val="-11"/>
          <w:sz w:val="20"/>
        </w:rPr>
        <w:t> </w:t>
      </w:r>
      <w:r>
        <w:rPr>
          <w:sz w:val="20"/>
        </w:rPr>
        <w:t>verily</w:t>
      </w:r>
      <w:r>
        <w:rPr>
          <w:spacing w:val="-11"/>
          <w:sz w:val="20"/>
        </w:rPr>
        <w:t> </w:t>
      </w:r>
      <w:r>
        <w:rPr>
          <w:sz w:val="20"/>
        </w:rPr>
        <w:t>believe</w:t>
      </w:r>
      <w:r>
        <w:rPr>
          <w:spacing w:val="-10"/>
          <w:sz w:val="20"/>
        </w:rPr>
        <w:t> </w:t>
      </w:r>
      <w:r>
        <w:rPr>
          <w:sz w:val="20"/>
        </w:rPr>
        <w:t>that,</w:t>
      </w:r>
      <w:r>
        <w:rPr>
          <w:spacing w:val="-12"/>
          <w:sz w:val="20"/>
        </w:rPr>
        <w:t> </w:t>
      </w:r>
      <w:r>
        <w:rPr>
          <w:sz w:val="20"/>
        </w:rPr>
        <w:t>GSFC</w:t>
      </w:r>
      <w:r>
        <w:rPr>
          <w:spacing w:val="-11"/>
          <w:sz w:val="20"/>
        </w:rPr>
        <w:t> </w:t>
      </w:r>
      <w:r>
        <w:rPr>
          <w:sz w:val="20"/>
        </w:rPr>
        <w:t>and</w:t>
      </w:r>
      <w:r>
        <w:rPr>
          <w:spacing w:val="-11"/>
          <w:sz w:val="20"/>
        </w:rPr>
        <w:t> </w:t>
      </w:r>
      <w:r>
        <w:rPr>
          <w:sz w:val="20"/>
        </w:rPr>
        <w:t>Varma</w:t>
      </w:r>
      <w:r>
        <w:rPr>
          <w:spacing w:val="-11"/>
          <w:sz w:val="20"/>
        </w:rPr>
        <w:t> </w:t>
      </w:r>
      <w:r>
        <w:rPr>
          <w:sz w:val="20"/>
        </w:rPr>
        <w:t>nominated</w:t>
      </w:r>
      <w:r>
        <w:rPr>
          <w:spacing w:val="-11"/>
          <w:sz w:val="20"/>
        </w:rPr>
        <w:t> </w:t>
      </w:r>
      <w:r>
        <w:rPr>
          <w:sz w:val="20"/>
        </w:rPr>
        <w:t>Anjaria for election to the KRN Board, and Varma and Nanavaty, having a majority of seats on the KRN Board, voted for the appointment of</w:t>
      </w:r>
      <w:r>
        <w:rPr>
          <w:spacing w:val="-8"/>
          <w:sz w:val="20"/>
        </w:rPr>
        <w:t> </w:t>
      </w:r>
      <w:r>
        <w:rPr>
          <w:sz w:val="20"/>
        </w:rPr>
        <w:t>Anjaria.</w:t>
      </w:r>
    </w:p>
    <w:p>
      <w:pPr>
        <w:pStyle w:val="BodyText"/>
        <w:spacing w:before="10"/>
      </w:pPr>
    </w:p>
    <w:p>
      <w:pPr>
        <w:pStyle w:val="ListParagraph"/>
        <w:numPr>
          <w:ilvl w:val="0"/>
          <w:numId w:val="1"/>
        </w:numPr>
        <w:tabs>
          <w:tab w:pos="840" w:val="left" w:leader="none"/>
        </w:tabs>
        <w:spacing w:line="360" w:lineRule="auto" w:before="0" w:after="0"/>
        <w:ind w:left="839" w:right="1196" w:hanging="721"/>
        <w:jc w:val="both"/>
        <w:rPr>
          <w:sz w:val="20"/>
        </w:rPr>
      </w:pPr>
      <w:r>
        <w:rPr>
          <w:sz w:val="20"/>
        </w:rPr>
        <w:t>I am advised by Rowan and Wheatley, and verily believe that, Varma insisted that Anjaria was a nominee of KRN, and not a nominee of GSFC, and that Anjaria was independent, even though he was a director of</w:t>
      </w:r>
      <w:r>
        <w:rPr>
          <w:spacing w:val="-3"/>
          <w:sz w:val="20"/>
        </w:rPr>
        <w:t> </w:t>
      </w:r>
      <w:r>
        <w:rPr>
          <w:sz w:val="20"/>
        </w:rPr>
        <w:t>GSFC.</w:t>
      </w:r>
    </w:p>
    <w:p>
      <w:pPr>
        <w:pStyle w:val="BodyText"/>
        <w:spacing w:before="10"/>
      </w:pPr>
    </w:p>
    <w:p>
      <w:pPr>
        <w:pStyle w:val="ListParagraph"/>
        <w:numPr>
          <w:ilvl w:val="0"/>
          <w:numId w:val="1"/>
        </w:numPr>
        <w:tabs>
          <w:tab w:pos="840" w:val="left" w:leader="none"/>
        </w:tabs>
        <w:spacing w:line="360" w:lineRule="auto" w:before="1" w:after="0"/>
        <w:ind w:left="839" w:right="1196" w:hanging="721"/>
        <w:jc w:val="both"/>
        <w:rPr>
          <w:sz w:val="20"/>
        </w:rPr>
      </w:pPr>
      <w:r>
        <w:rPr>
          <w:sz w:val="20"/>
        </w:rPr>
        <w:t>I</w:t>
      </w:r>
      <w:r>
        <w:rPr>
          <w:spacing w:val="-11"/>
          <w:sz w:val="20"/>
        </w:rPr>
        <w:t> </w:t>
      </w:r>
      <w:r>
        <w:rPr>
          <w:sz w:val="20"/>
        </w:rPr>
        <w:t>verily</w:t>
      </w:r>
      <w:r>
        <w:rPr>
          <w:spacing w:val="-8"/>
          <w:sz w:val="20"/>
        </w:rPr>
        <w:t> </w:t>
      </w:r>
      <w:r>
        <w:rPr>
          <w:sz w:val="20"/>
        </w:rPr>
        <w:t>believe</w:t>
      </w:r>
      <w:r>
        <w:rPr>
          <w:spacing w:val="-9"/>
          <w:sz w:val="20"/>
        </w:rPr>
        <w:t> </w:t>
      </w:r>
      <w:r>
        <w:rPr>
          <w:sz w:val="20"/>
        </w:rPr>
        <w:t>that</w:t>
      </w:r>
      <w:r>
        <w:rPr>
          <w:spacing w:val="-9"/>
          <w:sz w:val="20"/>
        </w:rPr>
        <w:t> </w:t>
      </w:r>
      <w:r>
        <w:rPr>
          <w:sz w:val="20"/>
        </w:rPr>
        <w:t>Varma</w:t>
      </w:r>
      <w:r>
        <w:rPr>
          <w:spacing w:val="-10"/>
          <w:sz w:val="20"/>
        </w:rPr>
        <w:t> </w:t>
      </w:r>
      <w:r>
        <w:rPr>
          <w:sz w:val="20"/>
        </w:rPr>
        <w:t>was</w:t>
      </w:r>
      <w:r>
        <w:rPr>
          <w:spacing w:val="-8"/>
          <w:sz w:val="20"/>
        </w:rPr>
        <w:t> </w:t>
      </w:r>
      <w:r>
        <w:rPr>
          <w:sz w:val="20"/>
        </w:rPr>
        <w:t>intentionally</w:t>
      </w:r>
      <w:r>
        <w:rPr>
          <w:spacing w:val="-8"/>
          <w:sz w:val="20"/>
        </w:rPr>
        <w:t> </w:t>
      </w:r>
      <w:r>
        <w:rPr>
          <w:sz w:val="20"/>
        </w:rPr>
        <w:t>lying</w:t>
      </w:r>
      <w:r>
        <w:rPr>
          <w:spacing w:val="-9"/>
          <w:sz w:val="20"/>
        </w:rPr>
        <w:t> </w:t>
      </w:r>
      <w:r>
        <w:rPr>
          <w:sz w:val="20"/>
        </w:rPr>
        <w:t>about</w:t>
      </w:r>
      <w:r>
        <w:rPr>
          <w:spacing w:val="-11"/>
          <w:sz w:val="20"/>
        </w:rPr>
        <w:t> </w:t>
      </w:r>
      <w:r>
        <w:rPr>
          <w:sz w:val="20"/>
        </w:rPr>
        <w:t>Anjaria</w:t>
      </w:r>
      <w:r>
        <w:rPr>
          <w:spacing w:val="-9"/>
          <w:sz w:val="20"/>
        </w:rPr>
        <w:t> </w:t>
      </w:r>
      <w:r>
        <w:rPr>
          <w:sz w:val="20"/>
        </w:rPr>
        <w:t>being</w:t>
      </w:r>
      <w:r>
        <w:rPr>
          <w:spacing w:val="-9"/>
          <w:sz w:val="20"/>
        </w:rPr>
        <w:t> </w:t>
      </w:r>
      <w:r>
        <w:rPr>
          <w:sz w:val="20"/>
        </w:rPr>
        <w:t>a</w:t>
      </w:r>
      <w:r>
        <w:rPr>
          <w:spacing w:val="-9"/>
          <w:sz w:val="20"/>
        </w:rPr>
        <w:t> </w:t>
      </w:r>
      <w:r>
        <w:rPr>
          <w:sz w:val="20"/>
        </w:rPr>
        <w:t>nominee</w:t>
      </w:r>
      <w:r>
        <w:rPr>
          <w:spacing w:val="-11"/>
          <w:sz w:val="20"/>
        </w:rPr>
        <w:t> </w:t>
      </w:r>
      <w:r>
        <w:rPr>
          <w:sz w:val="20"/>
        </w:rPr>
        <w:t>of</w:t>
      </w:r>
      <w:r>
        <w:rPr>
          <w:spacing w:val="-10"/>
          <w:sz w:val="20"/>
        </w:rPr>
        <w:t> </w:t>
      </w:r>
      <w:r>
        <w:rPr>
          <w:sz w:val="20"/>
        </w:rPr>
        <w:t>KRN,</w:t>
      </w:r>
      <w:r>
        <w:rPr>
          <w:spacing w:val="-10"/>
          <w:sz w:val="20"/>
        </w:rPr>
        <w:t> </w:t>
      </w:r>
      <w:r>
        <w:rPr>
          <w:sz w:val="20"/>
        </w:rPr>
        <w:t>and</w:t>
      </w:r>
      <w:r>
        <w:rPr>
          <w:spacing w:val="-8"/>
          <w:sz w:val="20"/>
        </w:rPr>
        <w:t> </w:t>
      </w:r>
      <w:r>
        <w:rPr>
          <w:sz w:val="20"/>
        </w:rPr>
        <w:t>being independent, as the lie was in the best interests of GSFC in order to maintain control of the KRN Board, and not in the best interest of all shareholders to have an independent KRN</w:t>
      </w:r>
      <w:r>
        <w:rPr>
          <w:spacing w:val="-26"/>
          <w:sz w:val="20"/>
        </w:rPr>
        <w:t> </w:t>
      </w:r>
      <w:r>
        <w:rPr>
          <w:sz w:val="20"/>
        </w:rPr>
        <w:t>Board.</w:t>
      </w:r>
    </w:p>
    <w:p>
      <w:pPr>
        <w:pStyle w:val="BodyText"/>
        <w:spacing w:before="9"/>
      </w:pPr>
    </w:p>
    <w:p>
      <w:pPr>
        <w:pStyle w:val="ListParagraph"/>
        <w:numPr>
          <w:ilvl w:val="0"/>
          <w:numId w:val="1"/>
        </w:numPr>
        <w:tabs>
          <w:tab w:pos="840" w:val="left" w:leader="none"/>
        </w:tabs>
        <w:spacing w:line="360" w:lineRule="auto" w:before="0" w:after="0"/>
        <w:ind w:left="839" w:right="1195" w:hanging="721"/>
        <w:jc w:val="both"/>
        <w:rPr>
          <w:sz w:val="20"/>
        </w:rPr>
      </w:pPr>
      <w:r>
        <w:rPr>
          <w:sz w:val="20"/>
        </w:rPr>
        <w:t>I</w:t>
      </w:r>
      <w:r>
        <w:rPr>
          <w:spacing w:val="-5"/>
          <w:sz w:val="20"/>
        </w:rPr>
        <w:t> </w:t>
      </w:r>
      <w:r>
        <w:rPr>
          <w:sz w:val="20"/>
        </w:rPr>
        <w:t>verily</w:t>
      </w:r>
      <w:r>
        <w:rPr>
          <w:spacing w:val="-3"/>
          <w:sz w:val="20"/>
        </w:rPr>
        <w:t> </w:t>
      </w:r>
      <w:r>
        <w:rPr>
          <w:sz w:val="20"/>
        </w:rPr>
        <w:t>believe</w:t>
      </w:r>
      <w:r>
        <w:rPr>
          <w:spacing w:val="-3"/>
          <w:sz w:val="20"/>
        </w:rPr>
        <w:t> </w:t>
      </w:r>
      <w:r>
        <w:rPr>
          <w:sz w:val="20"/>
        </w:rPr>
        <w:t>that</w:t>
      </w:r>
      <w:r>
        <w:rPr>
          <w:spacing w:val="-5"/>
          <w:sz w:val="20"/>
        </w:rPr>
        <w:t> </w:t>
      </w:r>
      <w:r>
        <w:rPr>
          <w:sz w:val="20"/>
        </w:rPr>
        <w:t>none</w:t>
      </w:r>
      <w:r>
        <w:rPr>
          <w:spacing w:val="-3"/>
          <w:sz w:val="20"/>
        </w:rPr>
        <w:t> </w:t>
      </w:r>
      <w:r>
        <w:rPr>
          <w:sz w:val="20"/>
        </w:rPr>
        <w:t>of</w:t>
      </w:r>
      <w:r>
        <w:rPr>
          <w:spacing w:val="-6"/>
          <w:sz w:val="20"/>
        </w:rPr>
        <w:t> </w:t>
      </w:r>
      <w:r>
        <w:rPr>
          <w:sz w:val="20"/>
        </w:rPr>
        <w:t>GSFC,</w:t>
      </w:r>
      <w:r>
        <w:rPr>
          <w:spacing w:val="-4"/>
          <w:sz w:val="20"/>
        </w:rPr>
        <w:t> </w:t>
      </w:r>
      <w:r>
        <w:rPr>
          <w:sz w:val="20"/>
        </w:rPr>
        <w:t>nor</w:t>
      </w:r>
      <w:r>
        <w:rPr>
          <w:spacing w:val="-4"/>
          <w:sz w:val="20"/>
        </w:rPr>
        <w:t> </w:t>
      </w:r>
      <w:r>
        <w:rPr>
          <w:sz w:val="20"/>
        </w:rPr>
        <w:t>the</w:t>
      </w:r>
      <w:r>
        <w:rPr>
          <w:spacing w:val="-4"/>
          <w:sz w:val="20"/>
        </w:rPr>
        <w:t> </w:t>
      </w:r>
      <w:r>
        <w:rPr>
          <w:sz w:val="20"/>
        </w:rPr>
        <w:t>GSFC</w:t>
      </w:r>
      <w:r>
        <w:rPr>
          <w:spacing w:val="-4"/>
          <w:sz w:val="20"/>
        </w:rPr>
        <w:t> </w:t>
      </w:r>
      <w:r>
        <w:rPr>
          <w:sz w:val="20"/>
        </w:rPr>
        <w:t>Nominees,</w:t>
      </w:r>
      <w:r>
        <w:rPr>
          <w:spacing w:val="-5"/>
          <w:sz w:val="20"/>
        </w:rPr>
        <w:t> </w:t>
      </w:r>
      <w:r>
        <w:rPr>
          <w:sz w:val="20"/>
        </w:rPr>
        <w:t>had</w:t>
      </w:r>
      <w:r>
        <w:rPr>
          <w:spacing w:val="-4"/>
          <w:sz w:val="20"/>
        </w:rPr>
        <w:t> </w:t>
      </w:r>
      <w:r>
        <w:rPr>
          <w:sz w:val="20"/>
        </w:rPr>
        <w:t>any</w:t>
      </w:r>
      <w:r>
        <w:rPr>
          <w:spacing w:val="-3"/>
          <w:sz w:val="20"/>
        </w:rPr>
        <w:t> </w:t>
      </w:r>
      <w:r>
        <w:rPr>
          <w:sz w:val="20"/>
        </w:rPr>
        <w:t>intention</w:t>
      </w:r>
      <w:r>
        <w:rPr>
          <w:spacing w:val="-4"/>
          <w:sz w:val="20"/>
        </w:rPr>
        <w:t> </w:t>
      </w:r>
      <w:r>
        <w:rPr>
          <w:sz w:val="20"/>
        </w:rPr>
        <w:t>to</w:t>
      </w:r>
      <w:r>
        <w:rPr>
          <w:spacing w:val="-4"/>
          <w:sz w:val="20"/>
        </w:rPr>
        <w:t> </w:t>
      </w:r>
      <w:r>
        <w:rPr>
          <w:sz w:val="20"/>
        </w:rPr>
        <w:t>follow,</w:t>
      </w:r>
      <w:r>
        <w:rPr>
          <w:spacing w:val="-5"/>
          <w:sz w:val="20"/>
        </w:rPr>
        <w:t> </w:t>
      </w:r>
      <w:r>
        <w:rPr>
          <w:sz w:val="20"/>
        </w:rPr>
        <w:t>or</w:t>
      </w:r>
      <w:r>
        <w:rPr>
          <w:spacing w:val="-3"/>
          <w:sz w:val="20"/>
        </w:rPr>
        <w:t> </w:t>
      </w:r>
      <w:r>
        <w:rPr>
          <w:sz w:val="20"/>
        </w:rPr>
        <w:t>tried</w:t>
      </w:r>
      <w:r>
        <w:rPr>
          <w:spacing w:val="-4"/>
          <w:sz w:val="20"/>
        </w:rPr>
        <w:t> </w:t>
      </w:r>
      <w:r>
        <w:rPr>
          <w:sz w:val="20"/>
        </w:rPr>
        <w:t>to follow, either the letter and spirit of Securities Laws, TSX Rules, and the GSFC Nomination Right. I</w:t>
      </w:r>
      <w:r>
        <w:rPr>
          <w:spacing w:val="-8"/>
          <w:sz w:val="20"/>
        </w:rPr>
        <w:t> </w:t>
      </w:r>
      <w:r>
        <w:rPr>
          <w:sz w:val="20"/>
        </w:rPr>
        <w:t>verily</w:t>
      </w:r>
      <w:r>
        <w:rPr>
          <w:spacing w:val="-7"/>
          <w:sz w:val="20"/>
        </w:rPr>
        <w:t> </w:t>
      </w:r>
      <w:r>
        <w:rPr>
          <w:sz w:val="20"/>
        </w:rPr>
        <w:t>believe</w:t>
      </w:r>
      <w:r>
        <w:rPr>
          <w:spacing w:val="-7"/>
          <w:sz w:val="20"/>
        </w:rPr>
        <w:t> </w:t>
      </w:r>
      <w:r>
        <w:rPr>
          <w:sz w:val="20"/>
        </w:rPr>
        <w:t>that</w:t>
      </w:r>
      <w:r>
        <w:rPr>
          <w:spacing w:val="-8"/>
          <w:sz w:val="20"/>
        </w:rPr>
        <w:t> </w:t>
      </w:r>
      <w:r>
        <w:rPr>
          <w:sz w:val="20"/>
        </w:rPr>
        <w:t>all</w:t>
      </w:r>
      <w:r>
        <w:rPr>
          <w:spacing w:val="-6"/>
          <w:sz w:val="20"/>
        </w:rPr>
        <w:t> </w:t>
      </w:r>
      <w:r>
        <w:rPr>
          <w:sz w:val="20"/>
        </w:rPr>
        <w:t>actions</w:t>
      </w:r>
      <w:r>
        <w:rPr>
          <w:spacing w:val="-7"/>
          <w:sz w:val="20"/>
        </w:rPr>
        <w:t> </w:t>
      </w:r>
      <w:r>
        <w:rPr>
          <w:sz w:val="20"/>
        </w:rPr>
        <w:t>of</w:t>
      </w:r>
      <w:r>
        <w:rPr>
          <w:spacing w:val="-7"/>
          <w:sz w:val="20"/>
        </w:rPr>
        <w:t> </w:t>
      </w:r>
      <w:r>
        <w:rPr>
          <w:sz w:val="20"/>
        </w:rPr>
        <w:t>the</w:t>
      </w:r>
      <w:r>
        <w:rPr>
          <w:spacing w:val="-8"/>
          <w:sz w:val="20"/>
        </w:rPr>
        <w:t> </w:t>
      </w:r>
      <w:r>
        <w:rPr>
          <w:sz w:val="20"/>
        </w:rPr>
        <w:t>GSFC</w:t>
      </w:r>
      <w:r>
        <w:rPr>
          <w:spacing w:val="-7"/>
          <w:sz w:val="20"/>
        </w:rPr>
        <w:t> </w:t>
      </w:r>
      <w:r>
        <w:rPr>
          <w:sz w:val="20"/>
        </w:rPr>
        <w:t>Nominees</w:t>
      </w:r>
      <w:r>
        <w:rPr>
          <w:spacing w:val="-6"/>
          <w:sz w:val="20"/>
        </w:rPr>
        <w:t> </w:t>
      </w:r>
      <w:r>
        <w:rPr>
          <w:sz w:val="20"/>
        </w:rPr>
        <w:t>were</w:t>
      </w:r>
      <w:r>
        <w:rPr>
          <w:spacing w:val="-8"/>
          <w:sz w:val="20"/>
        </w:rPr>
        <w:t> </w:t>
      </w:r>
      <w:r>
        <w:rPr>
          <w:sz w:val="20"/>
        </w:rPr>
        <w:t>to</w:t>
      </w:r>
      <w:r>
        <w:rPr>
          <w:spacing w:val="-7"/>
          <w:sz w:val="20"/>
        </w:rPr>
        <w:t> </w:t>
      </w:r>
      <w:r>
        <w:rPr>
          <w:sz w:val="20"/>
        </w:rPr>
        <w:t>further</w:t>
      </w:r>
      <w:r>
        <w:rPr>
          <w:spacing w:val="-7"/>
          <w:sz w:val="20"/>
        </w:rPr>
        <w:t> </w:t>
      </w:r>
      <w:r>
        <w:rPr>
          <w:sz w:val="20"/>
        </w:rPr>
        <w:t>the</w:t>
      </w:r>
      <w:r>
        <w:rPr>
          <w:spacing w:val="-7"/>
          <w:sz w:val="20"/>
        </w:rPr>
        <w:t> </w:t>
      </w:r>
      <w:r>
        <w:rPr>
          <w:sz w:val="20"/>
        </w:rPr>
        <w:t>agenda</w:t>
      </w:r>
      <w:r>
        <w:rPr>
          <w:spacing w:val="-8"/>
          <w:sz w:val="20"/>
        </w:rPr>
        <w:t> </w:t>
      </w:r>
      <w:r>
        <w:rPr>
          <w:sz w:val="20"/>
        </w:rPr>
        <w:t>of</w:t>
      </w:r>
      <w:r>
        <w:rPr>
          <w:spacing w:val="-7"/>
          <w:sz w:val="20"/>
        </w:rPr>
        <w:t> </w:t>
      </w:r>
      <w:r>
        <w:rPr>
          <w:sz w:val="20"/>
        </w:rPr>
        <w:t>GSFC,</w:t>
      </w:r>
      <w:r>
        <w:rPr>
          <w:spacing w:val="-8"/>
          <w:sz w:val="20"/>
        </w:rPr>
        <w:t> </w:t>
      </w:r>
      <w:r>
        <w:rPr>
          <w:sz w:val="20"/>
        </w:rPr>
        <w:t>and</w:t>
      </w:r>
      <w:r>
        <w:rPr>
          <w:spacing w:val="-8"/>
          <w:sz w:val="20"/>
        </w:rPr>
        <w:t> </w:t>
      </w:r>
      <w:r>
        <w:rPr>
          <w:sz w:val="20"/>
        </w:rPr>
        <w:t>not what was in the best interests of all shareholders of</w:t>
      </w:r>
      <w:r>
        <w:rPr>
          <w:spacing w:val="-9"/>
          <w:sz w:val="20"/>
        </w:rPr>
        <w:t> </w:t>
      </w:r>
      <w:r>
        <w:rPr>
          <w:sz w:val="20"/>
        </w:rPr>
        <w:t>KRN.</w:t>
      </w:r>
    </w:p>
    <w:p>
      <w:pPr>
        <w:pStyle w:val="BodyText"/>
        <w:spacing w:before="10"/>
      </w:pPr>
    </w:p>
    <w:p>
      <w:pPr>
        <w:pStyle w:val="ListParagraph"/>
        <w:numPr>
          <w:ilvl w:val="0"/>
          <w:numId w:val="1"/>
        </w:numPr>
        <w:tabs>
          <w:tab w:pos="840" w:val="left" w:leader="none"/>
        </w:tabs>
        <w:spacing w:line="360" w:lineRule="auto" w:before="1" w:after="0"/>
        <w:ind w:left="839" w:right="1197" w:hanging="721"/>
        <w:jc w:val="both"/>
        <w:rPr>
          <w:sz w:val="20"/>
        </w:rPr>
      </w:pPr>
      <w:r>
        <w:rPr>
          <w:sz w:val="20"/>
        </w:rPr>
        <w:t>I verily believe that GSFC was in clear breach of the GSFC Nomination Right and that there was no legal, contractual or other basis for GSFC to nominate a number of GSFC Nominees in excess of its entitlement under the GSFC Nomination</w:t>
      </w:r>
      <w:r>
        <w:rPr>
          <w:spacing w:val="-7"/>
          <w:sz w:val="20"/>
        </w:rPr>
        <w:t> </w:t>
      </w:r>
      <w:r>
        <w:rPr>
          <w:sz w:val="20"/>
        </w:rPr>
        <w:t>Right.</w:t>
      </w:r>
    </w:p>
    <w:p>
      <w:pPr>
        <w:spacing w:after="0" w:line="360" w:lineRule="auto"/>
        <w:jc w:val="both"/>
        <w:rPr>
          <w:sz w:val="20"/>
        </w:rPr>
        <w:sectPr>
          <w:pgSz w:w="12240" w:h="15840"/>
          <w:pgMar w:header="0" w:footer="971" w:top="1220" w:bottom="1220" w:left="1320" w:right="240"/>
        </w:sectPr>
      </w:pPr>
    </w:p>
    <w:p>
      <w:pPr>
        <w:pStyle w:val="Heading1"/>
        <w:numPr>
          <w:ilvl w:val="0"/>
          <w:numId w:val="2"/>
        </w:numPr>
        <w:tabs>
          <w:tab w:pos="839" w:val="left" w:leader="none"/>
          <w:tab w:pos="841" w:val="left" w:leader="none"/>
        </w:tabs>
        <w:spacing w:line="240" w:lineRule="auto" w:before="75" w:after="0"/>
        <w:ind w:left="840" w:right="0" w:hanging="721"/>
        <w:jc w:val="left"/>
        <w:rPr>
          <w:u w:val="none"/>
        </w:rPr>
      </w:pPr>
      <w:r>
        <w:rPr>
          <w:u w:val="thick"/>
        </w:rPr>
        <w:t>Favreau Confirms GSFC Control of KRN</w:t>
      </w:r>
      <w:r>
        <w:rPr>
          <w:spacing w:val="-9"/>
          <w:u w:val="thick"/>
        </w:rPr>
        <w:t> </w:t>
      </w:r>
      <w:r>
        <w:rPr>
          <w:u w:val="thick"/>
        </w:rPr>
        <w:t>Board</w:t>
      </w:r>
    </w:p>
    <w:p>
      <w:pPr>
        <w:pStyle w:val="BodyText"/>
        <w:spacing w:before="8"/>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In a telephone conversation with Favreau in early 2020, I commented to Favreau that GSFC was clearly in control of the KRN Board and it was obvious that they were not going to give up control under any circumstances. Favreau confirmed my suspicions and agreed with me that GSFC did not want to give up control of the KRN</w:t>
      </w:r>
      <w:r>
        <w:rPr>
          <w:spacing w:val="-10"/>
          <w:sz w:val="20"/>
        </w:rPr>
        <w:t> </w:t>
      </w:r>
      <w:r>
        <w:rPr>
          <w:sz w:val="20"/>
        </w:rPr>
        <w:t>Board.</w:t>
      </w:r>
    </w:p>
    <w:p>
      <w:pPr>
        <w:pStyle w:val="BodyText"/>
        <w:spacing w:before="10"/>
      </w:pPr>
    </w:p>
    <w:p>
      <w:pPr>
        <w:pStyle w:val="ListParagraph"/>
        <w:numPr>
          <w:ilvl w:val="0"/>
          <w:numId w:val="1"/>
        </w:numPr>
        <w:tabs>
          <w:tab w:pos="841" w:val="left" w:leader="none"/>
        </w:tabs>
        <w:spacing w:line="360" w:lineRule="auto" w:before="0" w:after="0"/>
        <w:ind w:left="840" w:right="1196" w:hanging="721"/>
        <w:jc w:val="both"/>
        <w:rPr>
          <w:sz w:val="20"/>
        </w:rPr>
      </w:pPr>
      <w:r>
        <w:rPr>
          <w:sz w:val="20"/>
        </w:rPr>
        <w:t>I</w:t>
      </w:r>
      <w:r>
        <w:rPr>
          <w:spacing w:val="-7"/>
          <w:sz w:val="20"/>
        </w:rPr>
        <w:t> </w:t>
      </w:r>
      <w:r>
        <w:rPr>
          <w:sz w:val="20"/>
        </w:rPr>
        <w:t>verily</w:t>
      </w:r>
      <w:r>
        <w:rPr>
          <w:spacing w:val="-6"/>
          <w:sz w:val="20"/>
        </w:rPr>
        <w:t> </w:t>
      </w:r>
      <w:r>
        <w:rPr>
          <w:sz w:val="20"/>
        </w:rPr>
        <w:t>believe</w:t>
      </w:r>
      <w:r>
        <w:rPr>
          <w:spacing w:val="-6"/>
          <w:sz w:val="20"/>
        </w:rPr>
        <w:t> </w:t>
      </w:r>
      <w:r>
        <w:rPr>
          <w:sz w:val="20"/>
        </w:rPr>
        <w:t>that</w:t>
      </w:r>
      <w:r>
        <w:rPr>
          <w:spacing w:val="-6"/>
          <w:sz w:val="20"/>
        </w:rPr>
        <w:t> </w:t>
      </w:r>
      <w:r>
        <w:rPr>
          <w:sz w:val="20"/>
        </w:rPr>
        <w:t>the</w:t>
      </w:r>
      <w:r>
        <w:rPr>
          <w:spacing w:val="-7"/>
          <w:sz w:val="20"/>
        </w:rPr>
        <w:t> </w:t>
      </w:r>
      <w:r>
        <w:rPr>
          <w:sz w:val="20"/>
        </w:rPr>
        <w:t>conduct</w:t>
      </w:r>
      <w:r>
        <w:rPr>
          <w:spacing w:val="-7"/>
          <w:sz w:val="20"/>
        </w:rPr>
        <w:t> </w:t>
      </w:r>
      <w:r>
        <w:rPr>
          <w:sz w:val="20"/>
        </w:rPr>
        <w:t>of</w:t>
      </w:r>
      <w:r>
        <w:rPr>
          <w:spacing w:val="-6"/>
          <w:sz w:val="20"/>
        </w:rPr>
        <w:t> </w:t>
      </w:r>
      <w:r>
        <w:rPr>
          <w:sz w:val="20"/>
        </w:rPr>
        <w:t>the</w:t>
      </w:r>
      <w:r>
        <w:rPr>
          <w:spacing w:val="-7"/>
          <w:sz w:val="20"/>
        </w:rPr>
        <w:t> </w:t>
      </w:r>
      <w:r>
        <w:rPr>
          <w:sz w:val="20"/>
        </w:rPr>
        <w:t>GSFC</w:t>
      </w:r>
      <w:r>
        <w:rPr>
          <w:spacing w:val="-6"/>
          <w:sz w:val="20"/>
        </w:rPr>
        <w:t> </w:t>
      </w:r>
      <w:r>
        <w:rPr>
          <w:sz w:val="20"/>
        </w:rPr>
        <w:t>Nominees</w:t>
      </w:r>
      <w:r>
        <w:rPr>
          <w:spacing w:val="-5"/>
          <w:sz w:val="20"/>
        </w:rPr>
        <w:t> </w:t>
      </w:r>
      <w:r>
        <w:rPr>
          <w:sz w:val="20"/>
        </w:rPr>
        <w:t>lying</w:t>
      </w:r>
      <w:r>
        <w:rPr>
          <w:spacing w:val="-7"/>
          <w:sz w:val="20"/>
        </w:rPr>
        <w:t> </w:t>
      </w:r>
      <w:r>
        <w:rPr>
          <w:sz w:val="20"/>
        </w:rPr>
        <w:t>about</w:t>
      </w:r>
      <w:r>
        <w:rPr>
          <w:spacing w:val="-7"/>
          <w:sz w:val="20"/>
        </w:rPr>
        <w:t> </w:t>
      </w:r>
      <w:r>
        <w:rPr>
          <w:sz w:val="20"/>
        </w:rPr>
        <w:t>the</w:t>
      </w:r>
      <w:r>
        <w:rPr>
          <w:spacing w:val="-6"/>
          <w:sz w:val="20"/>
        </w:rPr>
        <w:t> </w:t>
      </w:r>
      <w:r>
        <w:rPr>
          <w:sz w:val="20"/>
        </w:rPr>
        <w:t>independence</w:t>
      </w:r>
      <w:r>
        <w:rPr>
          <w:spacing w:val="-5"/>
          <w:sz w:val="20"/>
        </w:rPr>
        <w:t> </w:t>
      </w:r>
      <w:r>
        <w:rPr>
          <w:sz w:val="20"/>
        </w:rPr>
        <w:t>of</w:t>
      </w:r>
      <w:r>
        <w:rPr>
          <w:spacing w:val="-7"/>
          <w:sz w:val="20"/>
        </w:rPr>
        <w:t> </w:t>
      </w:r>
      <w:r>
        <w:rPr>
          <w:sz w:val="20"/>
        </w:rPr>
        <w:t>the</w:t>
      </w:r>
      <w:r>
        <w:rPr>
          <w:spacing w:val="-7"/>
          <w:sz w:val="20"/>
        </w:rPr>
        <w:t> </w:t>
      </w:r>
      <w:r>
        <w:rPr>
          <w:sz w:val="20"/>
        </w:rPr>
        <w:t>GSFC Nominees was intentional and was designed to make it appear that they were in compliance with Securities Laws and TSX</w:t>
      </w:r>
      <w:r>
        <w:rPr>
          <w:spacing w:val="-3"/>
          <w:sz w:val="20"/>
        </w:rPr>
        <w:t> </w:t>
      </w:r>
      <w:r>
        <w:rPr>
          <w:sz w:val="20"/>
        </w:rPr>
        <w:t>Rules.</w:t>
      </w:r>
    </w:p>
    <w:p>
      <w:pPr>
        <w:pStyle w:val="BodyText"/>
        <w:spacing w:before="11"/>
      </w:pPr>
    </w:p>
    <w:p>
      <w:pPr>
        <w:pStyle w:val="Heading1"/>
        <w:ind w:left="120" w:firstLine="0"/>
        <w:rPr>
          <w:u w:val="none"/>
        </w:rPr>
      </w:pPr>
      <w:r>
        <w:rPr>
          <w:u w:val="none"/>
        </w:rPr>
        <w:t>My Reasonable Expectations – Corporate Governance</w:t>
      </w:r>
    </w:p>
    <w:p>
      <w:pPr>
        <w:pStyle w:val="BodyText"/>
        <w:spacing w:before="9"/>
        <w:rPr>
          <w:b/>
          <w:sz w:val="30"/>
        </w:rPr>
      </w:pPr>
    </w:p>
    <w:p>
      <w:pPr>
        <w:pStyle w:val="ListParagraph"/>
        <w:numPr>
          <w:ilvl w:val="0"/>
          <w:numId w:val="3"/>
        </w:numPr>
        <w:tabs>
          <w:tab w:pos="839" w:val="left" w:leader="none"/>
          <w:tab w:pos="841" w:val="left" w:leader="none"/>
        </w:tabs>
        <w:spacing w:line="240" w:lineRule="auto" w:before="0" w:after="0"/>
        <w:ind w:left="840" w:right="0" w:hanging="721"/>
        <w:jc w:val="left"/>
        <w:rPr>
          <w:b/>
          <w:sz w:val="20"/>
        </w:rPr>
      </w:pPr>
      <w:r>
        <w:rPr>
          <w:b/>
          <w:sz w:val="20"/>
          <w:u w:val="thick"/>
        </w:rPr>
        <w:t>Legal and Fiduciary</w:t>
      </w:r>
      <w:r>
        <w:rPr>
          <w:b/>
          <w:spacing w:val="-4"/>
          <w:sz w:val="20"/>
          <w:u w:val="thick"/>
        </w:rPr>
        <w:t> </w:t>
      </w:r>
      <w:r>
        <w:rPr>
          <w:b/>
          <w:sz w:val="20"/>
          <w:u w:val="thick"/>
        </w:rPr>
        <w:t>Duties</w:t>
      </w:r>
    </w:p>
    <w:p>
      <w:pPr>
        <w:pStyle w:val="BodyText"/>
        <w:spacing w:before="9"/>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My reasonable expectations that the KRN Board and management will discharge their legal and fiduciary</w:t>
      </w:r>
      <w:r>
        <w:rPr>
          <w:spacing w:val="-7"/>
          <w:sz w:val="20"/>
        </w:rPr>
        <w:t> </w:t>
      </w:r>
      <w:r>
        <w:rPr>
          <w:sz w:val="20"/>
        </w:rPr>
        <w:t>duties</w:t>
      </w:r>
      <w:r>
        <w:rPr>
          <w:spacing w:val="-6"/>
          <w:sz w:val="20"/>
        </w:rPr>
        <w:t> </w:t>
      </w:r>
      <w:r>
        <w:rPr>
          <w:sz w:val="20"/>
        </w:rPr>
        <w:t>to</w:t>
      </w:r>
      <w:r>
        <w:rPr>
          <w:spacing w:val="-6"/>
          <w:sz w:val="20"/>
        </w:rPr>
        <w:t> </w:t>
      </w:r>
      <w:r>
        <w:rPr>
          <w:sz w:val="20"/>
        </w:rPr>
        <w:t>act</w:t>
      </w:r>
      <w:r>
        <w:rPr>
          <w:spacing w:val="-7"/>
          <w:sz w:val="20"/>
        </w:rPr>
        <w:t> </w:t>
      </w:r>
      <w:r>
        <w:rPr>
          <w:sz w:val="20"/>
        </w:rPr>
        <w:t>honestly,</w:t>
      </w:r>
      <w:r>
        <w:rPr>
          <w:spacing w:val="-7"/>
          <w:sz w:val="20"/>
        </w:rPr>
        <w:t> </w:t>
      </w:r>
      <w:r>
        <w:rPr>
          <w:sz w:val="20"/>
        </w:rPr>
        <w:t>with</w:t>
      </w:r>
      <w:r>
        <w:rPr>
          <w:spacing w:val="-6"/>
          <w:sz w:val="20"/>
        </w:rPr>
        <w:t> </w:t>
      </w:r>
      <w:r>
        <w:rPr>
          <w:sz w:val="20"/>
        </w:rPr>
        <w:t>integrity,</w:t>
      </w:r>
      <w:r>
        <w:rPr>
          <w:spacing w:val="-8"/>
          <w:sz w:val="20"/>
        </w:rPr>
        <w:t> </w:t>
      </w:r>
      <w:r>
        <w:rPr>
          <w:sz w:val="20"/>
        </w:rPr>
        <w:t>and</w:t>
      </w:r>
      <w:r>
        <w:rPr>
          <w:spacing w:val="-5"/>
          <w:sz w:val="20"/>
        </w:rPr>
        <w:t> </w:t>
      </w:r>
      <w:r>
        <w:rPr>
          <w:sz w:val="20"/>
        </w:rPr>
        <w:t>in</w:t>
      </w:r>
      <w:r>
        <w:rPr>
          <w:spacing w:val="-7"/>
          <w:sz w:val="20"/>
        </w:rPr>
        <w:t> </w:t>
      </w:r>
      <w:r>
        <w:rPr>
          <w:sz w:val="20"/>
        </w:rPr>
        <w:t>the</w:t>
      </w:r>
      <w:r>
        <w:rPr>
          <w:spacing w:val="-6"/>
          <w:sz w:val="20"/>
        </w:rPr>
        <w:t> </w:t>
      </w:r>
      <w:r>
        <w:rPr>
          <w:sz w:val="20"/>
        </w:rPr>
        <w:t>best</w:t>
      </w:r>
      <w:r>
        <w:rPr>
          <w:spacing w:val="-7"/>
          <w:sz w:val="20"/>
        </w:rPr>
        <w:t> </w:t>
      </w:r>
      <w:r>
        <w:rPr>
          <w:sz w:val="20"/>
        </w:rPr>
        <w:t>interests</w:t>
      </w:r>
      <w:r>
        <w:rPr>
          <w:spacing w:val="-6"/>
          <w:sz w:val="20"/>
        </w:rPr>
        <w:t> </w:t>
      </w:r>
      <w:r>
        <w:rPr>
          <w:sz w:val="20"/>
        </w:rPr>
        <w:t>of</w:t>
      </w:r>
      <w:r>
        <w:rPr>
          <w:spacing w:val="-7"/>
          <w:sz w:val="20"/>
        </w:rPr>
        <w:t> </w:t>
      </w:r>
      <w:r>
        <w:rPr>
          <w:sz w:val="20"/>
        </w:rPr>
        <w:t>all</w:t>
      </w:r>
      <w:r>
        <w:rPr>
          <w:spacing w:val="-7"/>
          <w:sz w:val="20"/>
        </w:rPr>
        <w:t> </w:t>
      </w:r>
      <w:r>
        <w:rPr>
          <w:sz w:val="20"/>
        </w:rPr>
        <w:t>shareholders,</w:t>
      </w:r>
      <w:r>
        <w:rPr>
          <w:spacing w:val="-8"/>
          <w:sz w:val="20"/>
        </w:rPr>
        <w:t> </w:t>
      </w:r>
      <w:r>
        <w:rPr>
          <w:sz w:val="20"/>
        </w:rPr>
        <w:t>have</w:t>
      </w:r>
      <w:r>
        <w:rPr>
          <w:spacing w:val="-5"/>
          <w:sz w:val="20"/>
        </w:rPr>
        <w:t> </w:t>
      </w:r>
      <w:r>
        <w:rPr>
          <w:sz w:val="20"/>
        </w:rPr>
        <w:t>not been met, because I verily believe</w:t>
      </w:r>
      <w:r>
        <w:rPr>
          <w:spacing w:val="-8"/>
          <w:sz w:val="20"/>
        </w:rPr>
        <w:t> </w:t>
      </w:r>
      <w:r>
        <w:rPr>
          <w:sz w:val="20"/>
        </w:rPr>
        <w:t>that:</w:t>
      </w:r>
    </w:p>
    <w:p>
      <w:pPr>
        <w:pStyle w:val="BodyText"/>
        <w:spacing w:before="10"/>
      </w:pPr>
    </w:p>
    <w:p>
      <w:pPr>
        <w:pStyle w:val="ListParagraph"/>
        <w:numPr>
          <w:ilvl w:val="1"/>
          <w:numId w:val="1"/>
        </w:numPr>
        <w:tabs>
          <w:tab w:pos="1559" w:val="left" w:leader="none"/>
          <w:tab w:pos="1560" w:val="left" w:leader="none"/>
        </w:tabs>
        <w:spacing w:line="355" w:lineRule="auto" w:before="0" w:after="0"/>
        <w:ind w:left="1559" w:right="1199" w:hanging="720"/>
        <w:jc w:val="both"/>
        <w:rPr>
          <w:sz w:val="20"/>
        </w:rPr>
      </w:pPr>
      <w:r>
        <w:rPr>
          <w:sz w:val="20"/>
        </w:rPr>
        <w:t>the</w:t>
      </w:r>
      <w:r>
        <w:rPr>
          <w:spacing w:val="-9"/>
          <w:sz w:val="20"/>
        </w:rPr>
        <w:t> </w:t>
      </w:r>
      <w:r>
        <w:rPr>
          <w:sz w:val="20"/>
        </w:rPr>
        <w:t>GSFC</w:t>
      </w:r>
      <w:r>
        <w:rPr>
          <w:spacing w:val="-8"/>
          <w:sz w:val="20"/>
        </w:rPr>
        <w:t> </w:t>
      </w:r>
      <w:r>
        <w:rPr>
          <w:sz w:val="20"/>
        </w:rPr>
        <w:t>Nominees</w:t>
      </w:r>
      <w:r>
        <w:rPr>
          <w:spacing w:val="-8"/>
          <w:sz w:val="20"/>
        </w:rPr>
        <w:t> </w:t>
      </w:r>
      <w:r>
        <w:rPr>
          <w:sz w:val="20"/>
        </w:rPr>
        <w:t>intentionally</w:t>
      </w:r>
      <w:r>
        <w:rPr>
          <w:spacing w:val="-8"/>
          <w:sz w:val="20"/>
        </w:rPr>
        <w:t> </w:t>
      </w:r>
      <w:r>
        <w:rPr>
          <w:sz w:val="20"/>
        </w:rPr>
        <w:t>lied</w:t>
      </w:r>
      <w:r>
        <w:rPr>
          <w:spacing w:val="-9"/>
          <w:sz w:val="20"/>
        </w:rPr>
        <w:t> </w:t>
      </w:r>
      <w:r>
        <w:rPr>
          <w:sz w:val="20"/>
        </w:rPr>
        <w:t>to</w:t>
      </w:r>
      <w:r>
        <w:rPr>
          <w:spacing w:val="-9"/>
          <w:sz w:val="20"/>
        </w:rPr>
        <w:t> </w:t>
      </w:r>
      <w:r>
        <w:rPr>
          <w:sz w:val="20"/>
        </w:rPr>
        <w:t>me,</w:t>
      </w:r>
      <w:r>
        <w:rPr>
          <w:spacing w:val="-9"/>
          <w:sz w:val="20"/>
        </w:rPr>
        <w:t> </w:t>
      </w:r>
      <w:r>
        <w:rPr>
          <w:sz w:val="20"/>
        </w:rPr>
        <w:t>and</w:t>
      </w:r>
      <w:r>
        <w:rPr>
          <w:spacing w:val="-8"/>
          <w:sz w:val="20"/>
        </w:rPr>
        <w:t> </w:t>
      </w:r>
      <w:r>
        <w:rPr>
          <w:sz w:val="20"/>
        </w:rPr>
        <w:t>lied</w:t>
      </w:r>
      <w:r>
        <w:rPr>
          <w:spacing w:val="-9"/>
          <w:sz w:val="20"/>
        </w:rPr>
        <w:t> </w:t>
      </w:r>
      <w:r>
        <w:rPr>
          <w:sz w:val="20"/>
        </w:rPr>
        <w:t>to</w:t>
      </w:r>
      <w:r>
        <w:rPr>
          <w:spacing w:val="-9"/>
          <w:sz w:val="20"/>
        </w:rPr>
        <w:t> </w:t>
      </w:r>
      <w:r>
        <w:rPr>
          <w:sz w:val="20"/>
        </w:rPr>
        <w:t>the</w:t>
      </w:r>
      <w:r>
        <w:rPr>
          <w:spacing w:val="-9"/>
          <w:sz w:val="20"/>
        </w:rPr>
        <w:t> </w:t>
      </w:r>
      <w:r>
        <w:rPr>
          <w:sz w:val="20"/>
        </w:rPr>
        <w:t>Canadian</w:t>
      </w:r>
      <w:r>
        <w:rPr>
          <w:spacing w:val="-9"/>
          <w:sz w:val="20"/>
        </w:rPr>
        <w:t> </w:t>
      </w:r>
      <w:r>
        <w:rPr>
          <w:sz w:val="20"/>
        </w:rPr>
        <w:t>capital</w:t>
      </w:r>
      <w:r>
        <w:rPr>
          <w:spacing w:val="-9"/>
          <w:sz w:val="20"/>
        </w:rPr>
        <w:t> </w:t>
      </w:r>
      <w:r>
        <w:rPr>
          <w:sz w:val="20"/>
        </w:rPr>
        <w:t>markets,</w:t>
      </w:r>
      <w:r>
        <w:rPr>
          <w:spacing w:val="-10"/>
          <w:sz w:val="20"/>
        </w:rPr>
        <w:t> </w:t>
      </w:r>
      <w:r>
        <w:rPr>
          <w:sz w:val="20"/>
        </w:rPr>
        <w:t>that all</w:t>
      </w:r>
      <w:r>
        <w:rPr>
          <w:spacing w:val="-7"/>
          <w:sz w:val="20"/>
        </w:rPr>
        <w:t> </w:t>
      </w:r>
      <w:r>
        <w:rPr>
          <w:sz w:val="20"/>
        </w:rPr>
        <w:t>GSFC</w:t>
      </w:r>
      <w:r>
        <w:rPr>
          <w:spacing w:val="-5"/>
          <w:sz w:val="20"/>
        </w:rPr>
        <w:t> </w:t>
      </w:r>
      <w:r>
        <w:rPr>
          <w:sz w:val="20"/>
        </w:rPr>
        <w:t>Nominees</w:t>
      </w:r>
      <w:r>
        <w:rPr>
          <w:spacing w:val="-5"/>
          <w:sz w:val="20"/>
        </w:rPr>
        <w:t> </w:t>
      </w:r>
      <w:r>
        <w:rPr>
          <w:sz w:val="20"/>
        </w:rPr>
        <w:t>are</w:t>
      </w:r>
      <w:r>
        <w:rPr>
          <w:spacing w:val="-6"/>
          <w:sz w:val="20"/>
        </w:rPr>
        <w:t> </w:t>
      </w:r>
      <w:r>
        <w:rPr>
          <w:sz w:val="20"/>
        </w:rPr>
        <w:t>100%</w:t>
      </w:r>
      <w:r>
        <w:rPr>
          <w:spacing w:val="-5"/>
          <w:sz w:val="20"/>
        </w:rPr>
        <w:t> </w:t>
      </w:r>
      <w:r>
        <w:rPr>
          <w:sz w:val="20"/>
        </w:rPr>
        <w:t>independent,</w:t>
      </w:r>
      <w:r>
        <w:rPr>
          <w:spacing w:val="-6"/>
          <w:sz w:val="20"/>
        </w:rPr>
        <w:t> </w:t>
      </w:r>
      <w:r>
        <w:rPr>
          <w:sz w:val="20"/>
        </w:rPr>
        <w:t>for</w:t>
      </w:r>
      <w:r>
        <w:rPr>
          <w:spacing w:val="-6"/>
          <w:sz w:val="20"/>
        </w:rPr>
        <w:t> </w:t>
      </w:r>
      <w:r>
        <w:rPr>
          <w:sz w:val="20"/>
        </w:rPr>
        <w:t>the</w:t>
      </w:r>
      <w:r>
        <w:rPr>
          <w:spacing w:val="-5"/>
          <w:sz w:val="20"/>
        </w:rPr>
        <w:t> </w:t>
      </w:r>
      <w:r>
        <w:rPr>
          <w:sz w:val="20"/>
        </w:rPr>
        <w:t>sole</w:t>
      </w:r>
      <w:r>
        <w:rPr>
          <w:spacing w:val="-5"/>
          <w:sz w:val="20"/>
        </w:rPr>
        <w:t> </w:t>
      </w:r>
      <w:r>
        <w:rPr>
          <w:sz w:val="20"/>
        </w:rPr>
        <w:t>purpose</w:t>
      </w:r>
      <w:r>
        <w:rPr>
          <w:spacing w:val="-5"/>
          <w:sz w:val="20"/>
        </w:rPr>
        <w:t> </w:t>
      </w:r>
      <w:r>
        <w:rPr>
          <w:sz w:val="20"/>
        </w:rPr>
        <w:t>of</w:t>
      </w:r>
      <w:r>
        <w:rPr>
          <w:spacing w:val="-7"/>
          <w:sz w:val="20"/>
        </w:rPr>
        <w:t> </w:t>
      </w:r>
      <w:r>
        <w:rPr>
          <w:sz w:val="20"/>
        </w:rPr>
        <w:t>GSFC</w:t>
      </w:r>
      <w:r>
        <w:rPr>
          <w:spacing w:val="-5"/>
          <w:sz w:val="20"/>
        </w:rPr>
        <w:t> </w:t>
      </w:r>
      <w:r>
        <w:rPr>
          <w:sz w:val="20"/>
        </w:rPr>
        <w:t>keeping</w:t>
      </w:r>
      <w:r>
        <w:rPr>
          <w:spacing w:val="-5"/>
          <w:sz w:val="20"/>
        </w:rPr>
        <w:t> </w:t>
      </w:r>
      <w:r>
        <w:rPr>
          <w:sz w:val="20"/>
        </w:rPr>
        <w:t>control of the KRN</w:t>
      </w:r>
      <w:r>
        <w:rPr>
          <w:spacing w:val="-2"/>
          <w:sz w:val="20"/>
        </w:rPr>
        <w:t> </w:t>
      </w:r>
      <w:r>
        <w:rPr>
          <w:sz w:val="20"/>
        </w:rPr>
        <w:t>Board;</w:t>
      </w:r>
    </w:p>
    <w:p>
      <w:pPr>
        <w:pStyle w:val="BodyText"/>
        <w:spacing w:before="4"/>
        <w:rPr>
          <w:sz w:val="21"/>
        </w:rPr>
      </w:pPr>
    </w:p>
    <w:p>
      <w:pPr>
        <w:pStyle w:val="ListParagraph"/>
        <w:numPr>
          <w:ilvl w:val="1"/>
          <w:numId w:val="1"/>
        </w:numPr>
        <w:tabs>
          <w:tab w:pos="1558" w:val="left" w:leader="none"/>
          <w:tab w:pos="1560" w:val="left" w:leader="none"/>
        </w:tabs>
        <w:spacing w:line="357" w:lineRule="auto" w:before="0" w:after="0"/>
        <w:ind w:left="1558" w:right="1197" w:hanging="720"/>
        <w:jc w:val="both"/>
        <w:rPr>
          <w:sz w:val="20"/>
        </w:rPr>
      </w:pPr>
      <w:r>
        <w:rPr>
          <w:sz w:val="20"/>
        </w:rPr>
        <w:t>the GSFC Nominees are not acting in the best interests of all KRN Shareholders, but are acting in the best interests of GSFC, by maintaining total and absolute control of the KRN Board for more than two (2) years, without any legal, contractual or other basis to do so; and</w:t>
      </w:r>
    </w:p>
    <w:p>
      <w:pPr>
        <w:pStyle w:val="BodyText"/>
        <w:spacing w:before="11"/>
      </w:pPr>
    </w:p>
    <w:p>
      <w:pPr>
        <w:pStyle w:val="ListParagraph"/>
        <w:numPr>
          <w:ilvl w:val="1"/>
          <w:numId w:val="1"/>
        </w:numPr>
        <w:tabs>
          <w:tab w:pos="1558" w:val="left" w:leader="none"/>
          <w:tab w:pos="1560" w:val="left" w:leader="none"/>
        </w:tabs>
        <w:spacing w:line="350" w:lineRule="auto" w:before="0" w:after="0"/>
        <w:ind w:left="1558" w:right="1198" w:hanging="720"/>
        <w:jc w:val="both"/>
        <w:rPr>
          <w:sz w:val="20"/>
        </w:rPr>
      </w:pPr>
      <w:r>
        <w:rPr>
          <w:sz w:val="20"/>
        </w:rPr>
        <w:t>Favreau</w:t>
      </w:r>
      <w:r>
        <w:rPr>
          <w:spacing w:val="-5"/>
          <w:sz w:val="20"/>
        </w:rPr>
        <w:t> </w:t>
      </w:r>
      <w:r>
        <w:rPr>
          <w:sz w:val="20"/>
        </w:rPr>
        <w:t>confirmed</w:t>
      </w:r>
      <w:r>
        <w:rPr>
          <w:spacing w:val="-4"/>
          <w:sz w:val="20"/>
        </w:rPr>
        <w:t> </w:t>
      </w:r>
      <w:r>
        <w:rPr>
          <w:sz w:val="20"/>
        </w:rPr>
        <w:t>to</w:t>
      </w:r>
      <w:r>
        <w:rPr>
          <w:spacing w:val="-6"/>
          <w:sz w:val="20"/>
        </w:rPr>
        <w:t> </w:t>
      </w:r>
      <w:r>
        <w:rPr>
          <w:sz w:val="20"/>
        </w:rPr>
        <w:t>me</w:t>
      </w:r>
      <w:r>
        <w:rPr>
          <w:spacing w:val="-4"/>
          <w:sz w:val="20"/>
        </w:rPr>
        <w:t> </w:t>
      </w:r>
      <w:r>
        <w:rPr>
          <w:sz w:val="20"/>
        </w:rPr>
        <w:t>that</w:t>
      </w:r>
      <w:r>
        <w:rPr>
          <w:spacing w:val="-6"/>
          <w:sz w:val="20"/>
        </w:rPr>
        <w:t> </w:t>
      </w:r>
      <w:r>
        <w:rPr>
          <w:sz w:val="20"/>
        </w:rPr>
        <w:t>GSFC</w:t>
      </w:r>
      <w:r>
        <w:rPr>
          <w:spacing w:val="-4"/>
          <w:sz w:val="20"/>
        </w:rPr>
        <w:t> </w:t>
      </w:r>
      <w:r>
        <w:rPr>
          <w:sz w:val="20"/>
        </w:rPr>
        <w:t>and</w:t>
      </w:r>
      <w:r>
        <w:rPr>
          <w:spacing w:val="-6"/>
          <w:sz w:val="20"/>
        </w:rPr>
        <w:t> </w:t>
      </w:r>
      <w:r>
        <w:rPr>
          <w:sz w:val="20"/>
        </w:rPr>
        <w:t>the</w:t>
      </w:r>
      <w:r>
        <w:rPr>
          <w:spacing w:val="-4"/>
          <w:sz w:val="20"/>
        </w:rPr>
        <w:t> </w:t>
      </w:r>
      <w:r>
        <w:rPr>
          <w:sz w:val="20"/>
        </w:rPr>
        <w:t>GSFC</w:t>
      </w:r>
      <w:r>
        <w:rPr>
          <w:spacing w:val="-6"/>
          <w:sz w:val="20"/>
        </w:rPr>
        <w:t> </w:t>
      </w:r>
      <w:r>
        <w:rPr>
          <w:sz w:val="20"/>
        </w:rPr>
        <w:t>Nominees</w:t>
      </w:r>
      <w:r>
        <w:rPr>
          <w:spacing w:val="-4"/>
          <w:sz w:val="20"/>
        </w:rPr>
        <w:t> </w:t>
      </w:r>
      <w:r>
        <w:rPr>
          <w:sz w:val="20"/>
        </w:rPr>
        <w:t>knew</w:t>
      </w:r>
      <w:r>
        <w:rPr>
          <w:spacing w:val="-6"/>
          <w:sz w:val="20"/>
        </w:rPr>
        <w:t> </w:t>
      </w:r>
      <w:r>
        <w:rPr>
          <w:sz w:val="20"/>
        </w:rPr>
        <w:t>that</w:t>
      </w:r>
      <w:r>
        <w:rPr>
          <w:spacing w:val="-5"/>
          <w:sz w:val="20"/>
        </w:rPr>
        <w:t> </w:t>
      </w:r>
      <w:r>
        <w:rPr>
          <w:sz w:val="20"/>
        </w:rPr>
        <w:t>they</w:t>
      </w:r>
      <w:r>
        <w:rPr>
          <w:spacing w:val="-4"/>
          <w:sz w:val="20"/>
        </w:rPr>
        <w:t> </w:t>
      </w:r>
      <w:r>
        <w:rPr>
          <w:sz w:val="20"/>
        </w:rPr>
        <w:t>had</w:t>
      </w:r>
      <w:r>
        <w:rPr>
          <w:spacing w:val="-6"/>
          <w:sz w:val="20"/>
        </w:rPr>
        <w:t> </w:t>
      </w:r>
      <w:r>
        <w:rPr>
          <w:sz w:val="20"/>
        </w:rPr>
        <w:t>control, and they did not want to give up control of the KRN</w:t>
      </w:r>
      <w:r>
        <w:rPr>
          <w:spacing w:val="-13"/>
          <w:sz w:val="20"/>
        </w:rPr>
        <w:t> </w:t>
      </w:r>
      <w:r>
        <w:rPr>
          <w:sz w:val="20"/>
        </w:rPr>
        <w:t>Board.</w:t>
      </w:r>
    </w:p>
    <w:p>
      <w:pPr>
        <w:pStyle w:val="BodyText"/>
        <w:spacing w:before="6"/>
        <w:rPr>
          <w:sz w:val="21"/>
        </w:rPr>
      </w:pPr>
    </w:p>
    <w:p>
      <w:pPr>
        <w:pStyle w:val="Heading1"/>
        <w:numPr>
          <w:ilvl w:val="0"/>
          <w:numId w:val="3"/>
        </w:numPr>
        <w:tabs>
          <w:tab w:pos="839" w:val="left" w:leader="none"/>
          <w:tab w:pos="841" w:val="left" w:leader="none"/>
        </w:tabs>
        <w:spacing w:line="240" w:lineRule="auto" w:before="0" w:after="0"/>
        <w:ind w:left="840" w:right="0" w:hanging="721"/>
        <w:jc w:val="left"/>
        <w:rPr>
          <w:u w:val="none"/>
        </w:rPr>
      </w:pPr>
      <w:r>
        <w:rPr>
          <w:u w:val="thick"/>
        </w:rPr>
        <w:t>Governance – Independent KRN Board and Compliance with</w:t>
      </w:r>
      <w:r>
        <w:rPr>
          <w:spacing w:val="-10"/>
          <w:u w:val="thick"/>
        </w:rPr>
        <w:t> </w:t>
      </w:r>
      <w:r>
        <w:rPr>
          <w:u w:val="thick"/>
        </w:rPr>
        <w:t>Laws</w:t>
      </w:r>
    </w:p>
    <w:p>
      <w:pPr>
        <w:pStyle w:val="BodyText"/>
        <w:spacing w:before="9"/>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My reasonable expectations that the KRN Board and management will comply with both the spirit and the letter of all laws, rules and regulations applicable to KRN, including Securities Laws and the TSX Rules, and standard Canadian business practice, regarding the requirement to have a board of directors comprised of a majority of independent directors, have not been met because I verily believe</w:t>
      </w:r>
      <w:r>
        <w:rPr>
          <w:spacing w:val="-2"/>
          <w:sz w:val="20"/>
        </w:rPr>
        <w:t> </w:t>
      </w:r>
      <w:r>
        <w:rPr>
          <w:sz w:val="20"/>
        </w:rPr>
        <w:t>that:</w:t>
      </w:r>
    </w:p>
    <w:p>
      <w:pPr>
        <w:pStyle w:val="BodyText"/>
        <w:spacing w:before="11"/>
      </w:pPr>
    </w:p>
    <w:p>
      <w:pPr>
        <w:pStyle w:val="ListParagraph"/>
        <w:numPr>
          <w:ilvl w:val="1"/>
          <w:numId w:val="1"/>
        </w:numPr>
        <w:tabs>
          <w:tab w:pos="1559" w:val="left" w:leader="none"/>
          <w:tab w:pos="1561" w:val="left" w:leader="none"/>
        </w:tabs>
        <w:spacing w:line="350" w:lineRule="auto" w:before="0" w:after="0"/>
        <w:ind w:left="1560" w:right="1197" w:hanging="721"/>
        <w:jc w:val="left"/>
        <w:rPr>
          <w:sz w:val="20"/>
        </w:rPr>
      </w:pPr>
      <w:r>
        <w:rPr>
          <w:sz w:val="20"/>
        </w:rPr>
        <w:t>the KRN Board has not been comprised of a majority of independent directors since January 2019, and as a result, is not in compliance with Securities Laws and TSX</w:t>
      </w:r>
      <w:r>
        <w:rPr>
          <w:spacing w:val="-33"/>
          <w:sz w:val="20"/>
        </w:rPr>
        <w:t> </w:t>
      </w:r>
      <w:r>
        <w:rPr>
          <w:sz w:val="20"/>
        </w:rPr>
        <w:t>Rules;</w:t>
      </w:r>
    </w:p>
    <w:p>
      <w:pPr>
        <w:spacing w:after="0" w:line="350" w:lineRule="auto"/>
        <w:jc w:val="left"/>
        <w:rPr>
          <w:sz w:val="20"/>
        </w:rPr>
        <w:sectPr>
          <w:pgSz w:w="12240" w:h="15840"/>
          <w:pgMar w:header="0" w:footer="971" w:top="1220" w:bottom="1240" w:left="1320" w:right="240"/>
        </w:sectPr>
      </w:pPr>
    </w:p>
    <w:p>
      <w:pPr>
        <w:pStyle w:val="ListParagraph"/>
        <w:numPr>
          <w:ilvl w:val="1"/>
          <w:numId w:val="1"/>
        </w:numPr>
        <w:tabs>
          <w:tab w:pos="1559" w:val="left" w:leader="none"/>
          <w:tab w:pos="1561" w:val="left" w:leader="none"/>
        </w:tabs>
        <w:spacing w:line="350" w:lineRule="auto" w:before="76" w:after="0"/>
        <w:ind w:left="1560" w:right="1198" w:hanging="721"/>
        <w:jc w:val="left"/>
        <w:rPr>
          <w:sz w:val="20"/>
        </w:rPr>
      </w:pPr>
      <w:r>
        <w:rPr>
          <w:sz w:val="20"/>
        </w:rPr>
        <w:t>the GSFC Nominees are fully aware of the requirements of Securities Laws and TSX Rules, and have consciously chosen to disregard such laws and</w:t>
      </w:r>
      <w:r>
        <w:rPr>
          <w:spacing w:val="-17"/>
          <w:sz w:val="20"/>
        </w:rPr>
        <w:t> </w:t>
      </w:r>
      <w:r>
        <w:rPr>
          <w:sz w:val="20"/>
        </w:rPr>
        <w:t>rules;</w:t>
      </w:r>
    </w:p>
    <w:p>
      <w:pPr>
        <w:pStyle w:val="BodyText"/>
        <w:spacing w:before="8"/>
        <w:rPr>
          <w:sz w:val="21"/>
        </w:rPr>
      </w:pPr>
    </w:p>
    <w:p>
      <w:pPr>
        <w:pStyle w:val="ListParagraph"/>
        <w:numPr>
          <w:ilvl w:val="1"/>
          <w:numId w:val="1"/>
        </w:numPr>
        <w:tabs>
          <w:tab w:pos="1559" w:val="left" w:leader="none"/>
          <w:tab w:pos="1560" w:val="left" w:leader="none"/>
        </w:tabs>
        <w:spacing w:line="350" w:lineRule="auto" w:before="1" w:after="0"/>
        <w:ind w:left="1559" w:right="1196" w:hanging="721"/>
        <w:jc w:val="left"/>
        <w:rPr>
          <w:sz w:val="20"/>
        </w:rPr>
      </w:pPr>
      <w:r>
        <w:rPr>
          <w:sz w:val="20"/>
        </w:rPr>
        <w:t>GSFC and the GSFC Nominees have had a majority of the directors on, and total control of, the KRN Board since January</w:t>
      </w:r>
      <w:r>
        <w:rPr>
          <w:spacing w:val="-6"/>
          <w:sz w:val="20"/>
        </w:rPr>
        <w:t> </w:t>
      </w:r>
      <w:r>
        <w:rPr>
          <w:sz w:val="20"/>
        </w:rPr>
        <w:t>2019;</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1197" w:hanging="720"/>
        <w:jc w:val="left"/>
        <w:rPr>
          <w:sz w:val="20"/>
        </w:rPr>
      </w:pPr>
      <w:r>
        <w:rPr>
          <w:sz w:val="20"/>
        </w:rPr>
        <w:t>the GSFC Nominees are not independent, according to the TSX Rules, and according to correspondence from the TSX;</w:t>
      </w:r>
      <w:r>
        <w:rPr>
          <w:spacing w:val="-5"/>
          <w:sz w:val="20"/>
        </w:rPr>
        <w:t> </w:t>
      </w:r>
      <w:r>
        <w:rPr>
          <w:sz w:val="20"/>
        </w:rPr>
        <w:t>and</w:t>
      </w:r>
    </w:p>
    <w:p>
      <w:pPr>
        <w:pStyle w:val="BodyText"/>
        <w:spacing w:before="9"/>
        <w:rPr>
          <w:sz w:val="21"/>
        </w:rPr>
      </w:pPr>
    </w:p>
    <w:p>
      <w:pPr>
        <w:pStyle w:val="ListParagraph"/>
        <w:numPr>
          <w:ilvl w:val="1"/>
          <w:numId w:val="1"/>
        </w:numPr>
        <w:tabs>
          <w:tab w:pos="1559" w:val="left" w:leader="none"/>
          <w:tab w:pos="1560" w:val="left" w:leader="none"/>
        </w:tabs>
        <w:spacing w:line="350" w:lineRule="auto" w:before="0" w:after="0"/>
        <w:ind w:left="1559" w:right="1196" w:hanging="721"/>
        <w:jc w:val="left"/>
        <w:rPr>
          <w:sz w:val="20"/>
        </w:rPr>
      </w:pPr>
      <w:r>
        <w:rPr>
          <w:sz w:val="20"/>
        </w:rPr>
        <w:t>the</w:t>
      </w:r>
      <w:r>
        <w:rPr>
          <w:spacing w:val="-5"/>
          <w:sz w:val="20"/>
        </w:rPr>
        <w:t> </w:t>
      </w:r>
      <w:r>
        <w:rPr>
          <w:sz w:val="20"/>
        </w:rPr>
        <w:t>GSFC</w:t>
      </w:r>
      <w:r>
        <w:rPr>
          <w:spacing w:val="-4"/>
          <w:sz w:val="20"/>
        </w:rPr>
        <w:t> </w:t>
      </w:r>
      <w:r>
        <w:rPr>
          <w:sz w:val="20"/>
        </w:rPr>
        <w:t>Nominees</w:t>
      </w:r>
      <w:r>
        <w:rPr>
          <w:spacing w:val="-4"/>
          <w:sz w:val="20"/>
        </w:rPr>
        <w:t> </w:t>
      </w:r>
      <w:r>
        <w:rPr>
          <w:sz w:val="20"/>
        </w:rPr>
        <w:t>have</w:t>
      </w:r>
      <w:r>
        <w:rPr>
          <w:spacing w:val="-5"/>
          <w:sz w:val="20"/>
        </w:rPr>
        <w:t> </w:t>
      </w:r>
      <w:r>
        <w:rPr>
          <w:sz w:val="20"/>
        </w:rPr>
        <w:t>had</w:t>
      </w:r>
      <w:r>
        <w:rPr>
          <w:spacing w:val="-4"/>
          <w:sz w:val="20"/>
        </w:rPr>
        <w:t> </w:t>
      </w:r>
      <w:r>
        <w:rPr>
          <w:sz w:val="20"/>
        </w:rPr>
        <w:t>many</w:t>
      </w:r>
      <w:r>
        <w:rPr>
          <w:spacing w:val="-5"/>
          <w:sz w:val="20"/>
        </w:rPr>
        <w:t> </w:t>
      </w:r>
      <w:r>
        <w:rPr>
          <w:sz w:val="20"/>
        </w:rPr>
        <w:t>opportunities</w:t>
      </w:r>
      <w:r>
        <w:rPr>
          <w:spacing w:val="-3"/>
          <w:sz w:val="20"/>
        </w:rPr>
        <w:t> </w:t>
      </w:r>
      <w:r>
        <w:rPr>
          <w:sz w:val="20"/>
        </w:rPr>
        <w:t>to</w:t>
      </w:r>
      <w:r>
        <w:rPr>
          <w:spacing w:val="-5"/>
          <w:sz w:val="20"/>
        </w:rPr>
        <w:t> </w:t>
      </w:r>
      <w:r>
        <w:rPr>
          <w:sz w:val="20"/>
        </w:rPr>
        <w:t>appoint</w:t>
      </w:r>
      <w:r>
        <w:rPr>
          <w:spacing w:val="-5"/>
          <w:sz w:val="20"/>
        </w:rPr>
        <w:t> </w:t>
      </w:r>
      <w:r>
        <w:rPr>
          <w:sz w:val="20"/>
        </w:rPr>
        <w:t>independent</w:t>
      </w:r>
      <w:r>
        <w:rPr>
          <w:spacing w:val="-5"/>
          <w:sz w:val="20"/>
        </w:rPr>
        <w:t> </w:t>
      </w:r>
      <w:r>
        <w:rPr>
          <w:sz w:val="20"/>
        </w:rPr>
        <w:t>directors</w:t>
      </w:r>
      <w:r>
        <w:rPr>
          <w:spacing w:val="-3"/>
          <w:sz w:val="20"/>
        </w:rPr>
        <w:t> </w:t>
      </w:r>
      <w:r>
        <w:rPr>
          <w:sz w:val="20"/>
        </w:rPr>
        <w:t>to</w:t>
      </w:r>
      <w:r>
        <w:rPr>
          <w:spacing w:val="-4"/>
          <w:sz w:val="20"/>
        </w:rPr>
        <w:t> </w:t>
      </w:r>
      <w:r>
        <w:rPr>
          <w:sz w:val="20"/>
        </w:rPr>
        <w:t>the KRN Board, but have consciously chosen not</w:t>
      </w:r>
      <w:r>
        <w:rPr>
          <w:spacing w:val="-8"/>
          <w:sz w:val="20"/>
        </w:rPr>
        <w:t> </w:t>
      </w:r>
      <w:r>
        <w:rPr>
          <w:sz w:val="20"/>
        </w:rPr>
        <w:t>to.</w:t>
      </w:r>
    </w:p>
    <w:p>
      <w:pPr>
        <w:pStyle w:val="BodyText"/>
        <w:spacing w:before="7"/>
        <w:rPr>
          <w:sz w:val="21"/>
        </w:rPr>
      </w:pPr>
    </w:p>
    <w:p>
      <w:pPr>
        <w:pStyle w:val="Heading1"/>
        <w:numPr>
          <w:ilvl w:val="0"/>
          <w:numId w:val="3"/>
        </w:numPr>
        <w:tabs>
          <w:tab w:pos="839" w:val="left" w:leader="none"/>
          <w:tab w:pos="841" w:val="left" w:leader="none"/>
        </w:tabs>
        <w:spacing w:line="240" w:lineRule="auto" w:before="0" w:after="0"/>
        <w:ind w:left="840" w:right="0" w:hanging="721"/>
        <w:jc w:val="left"/>
        <w:rPr>
          <w:u w:val="none"/>
        </w:rPr>
      </w:pPr>
      <w:r>
        <w:rPr>
          <w:u w:val="thick"/>
        </w:rPr>
        <w:t>KRN Code of</w:t>
      </w:r>
      <w:r>
        <w:rPr>
          <w:spacing w:val="-2"/>
          <w:u w:val="thick"/>
        </w:rPr>
        <w:t> </w:t>
      </w:r>
      <w:r>
        <w:rPr>
          <w:u w:val="thick"/>
        </w:rPr>
        <w:t>Conduct</w:t>
      </w:r>
    </w:p>
    <w:p>
      <w:pPr>
        <w:pStyle w:val="BodyText"/>
        <w:spacing w:before="8"/>
        <w:rPr>
          <w:b/>
          <w:sz w:val="22"/>
        </w:rPr>
      </w:pPr>
    </w:p>
    <w:p>
      <w:pPr>
        <w:pStyle w:val="ListParagraph"/>
        <w:numPr>
          <w:ilvl w:val="0"/>
          <w:numId w:val="1"/>
        </w:numPr>
        <w:tabs>
          <w:tab w:pos="839" w:val="left" w:leader="none"/>
          <w:tab w:pos="841" w:val="left" w:leader="none"/>
        </w:tabs>
        <w:spacing w:line="360" w:lineRule="auto" w:before="94" w:after="0"/>
        <w:ind w:left="840" w:right="1196" w:hanging="721"/>
        <w:jc w:val="left"/>
        <w:rPr>
          <w:sz w:val="20"/>
        </w:rPr>
      </w:pPr>
      <w:r>
        <w:rPr>
          <w:sz w:val="20"/>
        </w:rPr>
        <w:t>My</w:t>
      </w:r>
      <w:r>
        <w:rPr>
          <w:spacing w:val="-8"/>
          <w:sz w:val="20"/>
        </w:rPr>
        <w:t> </w:t>
      </w:r>
      <w:r>
        <w:rPr>
          <w:sz w:val="20"/>
        </w:rPr>
        <w:t>reasonable</w:t>
      </w:r>
      <w:r>
        <w:rPr>
          <w:spacing w:val="-9"/>
          <w:sz w:val="20"/>
        </w:rPr>
        <w:t> </w:t>
      </w:r>
      <w:r>
        <w:rPr>
          <w:sz w:val="20"/>
        </w:rPr>
        <w:t>expectations</w:t>
      </w:r>
      <w:r>
        <w:rPr>
          <w:spacing w:val="-8"/>
          <w:sz w:val="20"/>
        </w:rPr>
        <w:t> </w:t>
      </w:r>
      <w:r>
        <w:rPr>
          <w:sz w:val="20"/>
        </w:rPr>
        <w:t>that</w:t>
      </w:r>
      <w:r>
        <w:rPr>
          <w:spacing w:val="-9"/>
          <w:sz w:val="20"/>
        </w:rPr>
        <w:t> </w:t>
      </w:r>
      <w:r>
        <w:rPr>
          <w:sz w:val="20"/>
        </w:rPr>
        <w:t>the</w:t>
      </w:r>
      <w:r>
        <w:rPr>
          <w:spacing w:val="-9"/>
          <w:sz w:val="20"/>
        </w:rPr>
        <w:t> </w:t>
      </w:r>
      <w:r>
        <w:rPr>
          <w:sz w:val="20"/>
        </w:rPr>
        <w:t>KRN</w:t>
      </w:r>
      <w:r>
        <w:rPr>
          <w:spacing w:val="-8"/>
          <w:sz w:val="20"/>
        </w:rPr>
        <w:t> </w:t>
      </w:r>
      <w:r>
        <w:rPr>
          <w:sz w:val="20"/>
        </w:rPr>
        <w:t>Board</w:t>
      </w:r>
      <w:r>
        <w:rPr>
          <w:spacing w:val="-9"/>
          <w:sz w:val="20"/>
        </w:rPr>
        <w:t> </w:t>
      </w:r>
      <w:r>
        <w:rPr>
          <w:sz w:val="20"/>
        </w:rPr>
        <w:t>and</w:t>
      </w:r>
      <w:r>
        <w:rPr>
          <w:spacing w:val="-9"/>
          <w:sz w:val="20"/>
        </w:rPr>
        <w:t> </w:t>
      </w:r>
      <w:r>
        <w:rPr>
          <w:sz w:val="20"/>
        </w:rPr>
        <w:t>management</w:t>
      </w:r>
      <w:r>
        <w:rPr>
          <w:spacing w:val="-9"/>
          <w:sz w:val="20"/>
        </w:rPr>
        <w:t> </w:t>
      </w:r>
      <w:r>
        <w:rPr>
          <w:sz w:val="20"/>
        </w:rPr>
        <w:t>will</w:t>
      </w:r>
      <w:r>
        <w:rPr>
          <w:spacing w:val="-9"/>
          <w:sz w:val="20"/>
        </w:rPr>
        <w:t> </w:t>
      </w:r>
      <w:r>
        <w:rPr>
          <w:sz w:val="20"/>
        </w:rPr>
        <w:t>comply</w:t>
      </w:r>
      <w:r>
        <w:rPr>
          <w:spacing w:val="-8"/>
          <w:sz w:val="20"/>
        </w:rPr>
        <w:t> </w:t>
      </w:r>
      <w:r>
        <w:rPr>
          <w:sz w:val="20"/>
        </w:rPr>
        <w:t>with</w:t>
      </w:r>
      <w:r>
        <w:rPr>
          <w:spacing w:val="-9"/>
          <w:sz w:val="20"/>
        </w:rPr>
        <w:t> </w:t>
      </w:r>
      <w:r>
        <w:rPr>
          <w:sz w:val="20"/>
        </w:rPr>
        <w:t>the</w:t>
      </w:r>
      <w:r>
        <w:rPr>
          <w:spacing w:val="-8"/>
          <w:sz w:val="20"/>
        </w:rPr>
        <w:t> </w:t>
      </w:r>
      <w:r>
        <w:rPr>
          <w:sz w:val="20"/>
        </w:rPr>
        <w:t>KRN</w:t>
      </w:r>
      <w:r>
        <w:rPr>
          <w:spacing w:val="-10"/>
          <w:sz w:val="20"/>
        </w:rPr>
        <w:t> </w:t>
      </w:r>
      <w:r>
        <w:rPr>
          <w:sz w:val="20"/>
        </w:rPr>
        <w:t>Code, have not been met, because I verily believe</w:t>
      </w:r>
      <w:r>
        <w:rPr>
          <w:spacing w:val="-9"/>
          <w:sz w:val="20"/>
        </w:rPr>
        <w:t> </w:t>
      </w:r>
      <w:r>
        <w:rPr>
          <w:sz w:val="20"/>
        </w:rPr>
        <w:t>that:</w:t>
      </w:r>
    </w:p>
    <w:p>
      <w:pPr>
        <w:pStyle w:val="BodyText"/>
        <w:spacing w:before="11"/>
      </w:pPr>
    </w:p>
    <w:p>
      <w:pPr>
        <w:pStyle w:val="ListParagraph"/>
        <w:numPr>
          <w:ilvl w:val="1"/>
          <w:numId w:val="1"/>
        </w:numPr>
        <w:tabs>
          <w:tab w:pos="1559" w:val="left" w:leader="none"/>
          <w:tab w:pos="1560" w:val="left" w:leader="none"/>
        </w:tabs>
        <w:spacing w:line="350" w:lineRule="auto" w:before="0" w:after="0"/>
        <w:ind w:left="1559" w:right="1199" w:hanging="720"/>
        <w:jc w:val="left"/>
        <w:rPr>
          <w:sz w:val="20"/>
        </w:rPr>
      </w:pPr>
      <w:r>
        <w:rPr>
          <w:sz w:val="20"/>
        </w:rPr>
        <w:t>they are not acting honestly and with integrity in determining the independence of the GSFC</w:t>
      </w:r>
      <w:r>
        <w:rPr>
          <w:spacing w:val="-1"/>
          <w:sz w:val="20"/>
        </w:rPr>
        <w:t> </w:t>
      </w:r>
      <w:r>
        <w:rPr>
          <w:sz w:val="20"/>
        </w:rPr>
        <w:t>Nominees;</w:t>
      </w:r>
    </w:p>
    <w:p>
      <w:pPr>
        <w:pStyle w:val="BodyText"/>
        <w:spacing w:before="8"/>
        <w:rPr>
          <w:sz w:val="21"/>
        </w:rPr>
      </w:pPr>
    </w:p>
    <w:p>
      <w:pPr>
        <w:pStyle w:val="ListParagraph"/>
        <w:numPr>
          <w:ilvl w:val="1"/>
          <w:numId w:val="1"/>
        </w:numPr>
        <w:tabs>
          <w:tab w:pos="1559" w:val="left" w:leader="none"/>
          <w:tab w:pos="1560" w:val="left" w:leader="none"/>
        </w:tabs>
        <w:spacing w:line="350" w:lineRule="auto" w:before="0" w:after="0"/>
        <w:ind w:left="1559" w:right="1197" w:hanging="720"/>
        <w:jc w:val="left"/>
        <w:rPr>
          <w:sz w:val="20"/>
        </w:rPr>
      </w:pPr>
      <w:r>
        <w:rPr>
          <w:sz w:val="20"/>
        </w:rPr>
        <w:t>they are not acting honestly and with integrity by pretending that all GSFC Nominees are 100% independent in order to keep control of the KRN Board;</w:t>
      </w:r>
      <w:r>
        <w:rPr>
          <w:spacing w:val="-11"/>
          <w:sz w:val="20"/>
        </w:rPr>
        <w:t> </w:t>
      </w:r>
      <w:r>
        <w:rPr>
          <w:sz w:val="20"/>
        </w:rPr>
        <w:t>and</w:t>
      </w:r>
    </w:p>
    <w:p>
      <w:pPr>
        <w:pStyle w:val="BodyText"/>
        <w:spacing w:before="10"/>
        <w:rPr>
          <w:sz w:val="21"/>
        </w:rPr>
      </w:pPr>
    </w:p>
    <w:p>
      <w:pPr>
        <w:pStyle w:val="ListParagraph"/>
        <w:numPr>
          <w:ilvl w:val="1"/>
          <w:numId w:val="1"/>
        </w:numPr>
        <w:tabs>
          <w:tab w:pos="1559" w:val="left" w:leader="none"/>
          <w:tab w:pos="1560" w:val="left" w:leader="none"/>
        </w:tabs>
        <w:spacing w:line="350" w:lineRule="auto" w:before="0" w:after="0"/>
        <w:ind w:left="1559" w:right="1198" w:hanging="720"/>
        <w:jc w:val="left"/>
        <w:rPr>
          <w:sz w:val="20"/>
        </w:rPr>
      </w:pPr>
      <w:r>
        <w:rPr>
          <w:sz w:val="20"/>
        </w:rPr>
        <w:t>they are not complying with both the sprit and the letter of all laws, including Securities Laws and TSX</w:t>
      </w:r>
      <w:r>
        <w:rPr>
          <w:spacing w:val="-3"/>
          <w:sz w:val="20"/>
        </w:rPr>
        <w:t> </w:t>
      </w:r>
      <w:r>
        <w:rPr>
          <w:sz w:val="20"/>
        </w:rPr>
        <w:t>Rules.</w:t>
      </w:r>
    </w:p>
    <w:p>
      <w:pPr>
        <w:pStyle w:val="BodyText"/>
        <w:spacing w:before="7"/>
        <w:rPr>
          <w:sz w:val="21"/>
        </w:rPr>
      </w:pPr>
    </w:p>
    <w:p>
      <w:pPr>
        <w:pStyle w:val="Heading1"/>
        <w:numPr>
          <w:ilvl w:val="0"/>
          <w:numId w:val="3"/>
        </w:numPr>
        <w:tabs>
          <w:tab w:pos="839" w:val="left" w:leader="none"/>
          <w:tab w:pos="841" w:val="left" w:leader="none"/>
        </w:tabs>
        <w:spacing w:line="240" w:lineRule="auto" w:before="0" w:after="0"/>
        <w:ind w:left="840" w:right="0" w:hanging="721"/>
        <w:jc w:val="left"/>
        <w:rPr>
          <w:u w:val="none"/>
        </w:rPr>
      </w:pPr>
      <w:r>
        <w:rPr>
          <w:u w:val="thick"/>
        </w:rPr>
        <w:t>Contractual</w:t>
      </w:r>
      <w:r>
        <w:rPr>
          <w:spacing w:val="-4"/>
          <w:u w:val="thick"/>
        </w:rPr>
        <w:t> </w:t>
      </w:r>
      <w:r>
        <w:rPr>
          <w:u w:val="thick"/>
        </w:rPr>
        <w:t>Agreements</w:t>
      </w:r>
    </w:p>
    <w:p>
      <w:pPr>
        <w:pStyle w:val="BodyText"/>
        <w:spacing w:before="7"/>
        <w:rPr>
          <w:b/>
          <w:sz w:val="22"/>
        </w:rPr>
      </w:pPr>
    </w:p>
    <w:p>
      <w:pPr>
        <w:pStyle w:val="ListParagraph"/>
        <w:numPr>
          <w:ilvl w:val="0"/>
          <w:numId w:val="1"/>
        </w:numPr>
        <w:tabs>
          <w:tab w:pos="839" w:val="left" w:leader="none"/>
          <w:tab w:pos="841" w:val="left" w:leader="none"/>
        </w:tabs>
        <w:spacing w:line="360" w:lineRule="auto" w:before="94" w:after="0"/>
        <w:ind w:left="840" w:right="1196" w:hanging="721"/>
        <w:jc w:val="left"/>
        <w:rPr>
          <w:sz w:val="20"/>
        </w:rPr>
      </w:pPr>
      <w:r>
        <w:rPr>
          <w:sz w:val="20"/>
        </w:rPr>
        <w:t>My reasonable expectations that the KRN Board and management will comply with the provisions of the Subscription Agreement, have not been met because I verily believe</w:t>
      </w:r>
      <w:r>
        <w:rPr>
          <w:spacing w:val="-16"/>
          <w:sz w:val="20"/>
        </w:rPr>
        <w:t> </w:t>
      </w:r>
      <w:r>
        <w:rPr>
          <w:sz w:val="20"/>
        </w:rPr>
        <w:t>that:</w:t>
      </w:r>
    </w:p>
    <w:p>
      <w:pPr>
        <w:pStyle w:val="BodyText"/>
        <w:rPr>
          <w:sz w:val="21"/>
        </w:rPr>
      </w:pPr>
    </w:p>
    <w:p>
      <w:pPr>
        <w:pStyle w:val="ListParagraph"/>
        <w:numPr>
          <w:ilvl w:val="1"/>
          <w:numId w:val="1"/>
        </w:numPr>
        <w:tabs>
          <w:tab w:pos="1559" w:val="left" w:leader="none"/>
          <w:tab w:pos="1560" w:val="left" w:leader="none"/>
        </w:tabs>
        <w:spacing w:line="350" w:lineRule="auto" w:before="0" w:after="0"/>
        <w:ind w:left="1559" w:right="1197" w:hanging="721"/>
        <w:jc w:val="both"/>
        <w:rPr>
          <w:sz w:val="20"/>
        </w:rPr>
      </w:pPr>
      <w:r>
        <w:rPr>
          <w:sz w:val="20"/>
        </w:rPr>
        <w:t>GSFC</w:t>
      </w:r>
      <w:r>
        <w:rPr>
          <w:spacing w:val="-5"/>
          <w:sz w:val="20"/>
        </w:rPr>
        <w:t> </w:t>
      </w:r>
      <w:r>
        <w:rPr>
          <w:sz w:val="20"/>
        </w:rPr>
        <w:t>has</w:t>
      </w:r>
      <w:r>
        <w:rPr>
          <w:spacing w:val="-4"/>
          <w:sz w:val="20"/>
        </w:rPr>
        <w:t> </w:t>
      </w:r>
      <w:r>
        <w:rPr>
          <w:sz w:val="20"/>
        </w:rPr>
        <w:t>a</w:t>
      </w:r>
      <w:r>
        <w:rPr>
          <w:spacing w:val="-6"/>
          <w:sz w:val="20"/>
        </w:rPr>
        <w:t> </w:t>
      </w:r>
      <w:r>
        <w:rPr>
          <w:sz w:val="20"/>
        </w:rPr>
        <w:t>number</w:t>
      </w:r>
      <w:r>
        <w:rPr>
          <w:spacing w:val="-4"/>
          <w:sz w:val="20"/>
        </w:rPr>
        <w:t> </w:t>
      </w:r>
      <w:r>
        <w:rPr>
          <w:sz w:val="20"/>
        </w:rPr>
        <w:t>of</w:t>
      </w:r>
      <w:r>
        <w:rPr>
          <w:spacing w:val="-6"/>
          <w:sz w:val="20"/>
        </w:rPr>
        <w:t> </w:t>
      </w:r>
      <w:r>
        <w:rPr>
          <w:sz w:val="20"/>
        </w:rPr>
        <w:t>nominees</w:t>
      </w:r>
      <w:r>
        <w:rPr>
          <w:spacing w:val="-4"/>
          <w:sz w:val="20"/>
        </w:rPr>
        <w:t> </w:t>
      </w:r>
      <w:r>
        <w:rPr>
          <w:sz w:val="20"/>
        </w:rPr>
        <w:t>on</w:t>
      </w:r>
      <w:r>
        <w:rPr>
          <w:spacing w:val="-4"/>
          <w:sz w:val="20"/>
        </w:rPr>
        <w:t> </w:t>
      </w:r>
      <w:r>
        <w:rPr>
          <w:sz w:val="20"/>
        </w:rPr>
        <w:t>the</w:t>
      </w:r>
      <w:r>
        <w:rPr>
          <w:spacing w:val="-5"/>
          <w:sz w:val="20"/>
        </w:rPr>
        <w:t> </w:t>
      </w:r>
      <w:r>
        <w:rPr>
          <w:sz w:val="20"/>
        </w:rPr>
        <w:t>KRN</w:t>
      </w:r>
      <w:r>
        <w:rPr>
          <w:spacing w:val="-4"/>
          <w:sz w:val="20"/>
        </w:rPr>
        <w:t> </w:t>
      </w:r>
      <w:r>
        <w:rPr>
          <w:sz w:val="20"/>
        </w:rPr>
        <w:t>Board</w:t>
      </w:r>
      <w:r>
        <w:rPr>
          <w:spacing w:val="-6"/>
          <w:sz w:val="20"/>
        </w:rPr>
        <w:t> </w:t>
      </w:r>
      <w:r>
        <w:rPr>
          <w:sz w:val="20"/>
        </w:rPr>
        <w:t>in</w:t>
      </w:r>
      <w:r>
        <w:rPr>
          <w:spacing w:val="-4"/>
          <w:sz w:val="20"/>
        </w:rPr>
        <w:t> </w:t>
      </w:r>
      <w:r>
        <w:rPr>
          <w:sz w:val="20"/>
        </w:rPr>
        <w:t>excess</w:t>
      </w:r>
      <w:r>
        <w:rPr>
          <w:spacing w:val="-5"/>
          <w:sz w:val="20"/>
        </w:rPr>
        <w:t> </w:t>
      </w:r>
      <w:r>
        <w:rPr>
          <w:sz w:val="20"/>
        </w:rPr>
        <w:t>of</w:t>
      </w:r>
      <w:r>
        <w:rPr>
          <w:spacing w:val="-5"/>
          <w:sz w:val="20"/>
        </w:rPr>
        <w:t> </w:t>
      </w:r>
      <w:r>
        <w:rPr>
          <w:sz w:val="20"/>
        </w:rPr>
        <w:t>its</w:t>
      </w:r>
      <w:r>
        <w:rPr>
          <w:spacing w:val="-4"/>
          <w:sz w:val="20"/>
        </w:rPr>
        <w:t> </w:t>
      </w:r>
      <w:r>
        <w:rPr>
          <w:sz w:val="20"/>
        </w:rPr>
        <w:t>entitlement</w:t>
      </w:r>
      <w:r>
        <w:rPr>
          <w:spacing w:val="-6"/>
          <w:sz w:val="20"/>
        </w:rPr>
        <w:t> </w:t>
      </w:r>
      <w:r>
        <w:rPr>
          <w:sz w:val="20"/>
        </w:rPr>
        <w:t>under</w:t>
      </w:r>
      <w:r>
        <w:rPr>
          <w:spacing w:val="-4"/>
          <w:sz w:val="20"/>
        </w:rPr>
        <w:t> </w:t>
      </w:r>
      <w:r>
        <w:rPr>
          <w:sz w:val="20"/>
        </w:rPr>
        <w:t>the Subscription Agreement;</w:t>
      </w:r>
      <w:r>
        <w:rPr>
          <w:spacing w:val="-4"/>
          <w:sz w:val="20"/>
        </w:rPr>
        <w:t> </w:t>
      </w:r>
      <w:r>
        <w:rPr>
          <w:sz w:val="20"/>
        </w:rPr>
        <w:t>and</w:t>
      </w:r>
    </w:p>
    <w:p>
      <w:pPr>
        <w:pStyle w:val="BodyText"/>
        <w:spacing w:before="8"/>
        <w:rPr>
          <w:sz w:val="21"/>
        </w:rPr>
      </w:pPr>
    </w:p>
    <w:p>
      <w:pPr>
        <w:pStyle w:val="ListParagraph"/>
        <w:numPr>
          <w:ilvl w:val="1"/>
          <w:numId w:val="1"/>
        </w:numPr>
        <w:tabs>
          <w:tab w:pos="1559" w:val="left" w:leader="none"/>
          <w:tab w:pos="1561" w:val="left" w:leader="none"/>
        </w:tabs>
        <w:spacing w:line="355" w:lineRule="auto" w:before="0" w:after="0"/>
        <w:ind w:left="1559" w:right="1196" w:hanging="720"/>
        <w:jc w:val="both"/>
        <w:rPr>
          <w:sz w:val="20"/>
        </w:rPr>
      </w:pPr>
      <w:r>
        <w:rPr>
          <w:sz w:val="20"/>
        </w:rPr>
        <w:t>the GSFC Nominees are intentionally breaching the provision of the Subscription Agreement, because the GSFC Nominees believe that it is in the best interests of GSFC to keep control of the KRN</w:t>
      </w:r>
      <w:r>
        <w:rPr>
          <w:spacing w:val="-9"/>
          <w:sz w:val="20"/>
        </w:rPr>
        <w:t> </w:t>
      </w:r>
      <w:r>
        <w:rPr>
          <w:sz w:val="20"/>
        </w:rPr>
        <w:t>Board.</w:t>
      </w:r>
    </w:p>
    <w:p>
      <w:pPr>
        <w:spacing w:after="0" w:line="355" w:lineRule="auto"/>
        <w:jc w:val="both"/>
        <w:rPr>
          <w:sz w:val="20"/>
        </w:rPr>
        <w:sectPr>
          <w:pgSz w:w="12240" w:h="15840"/>
          <w:pgMar w:header="0" w:footer="971" w:top="1220" w:bottom="1160" w:left="1320" w:right="240"/>
        </w:sectPr>
      </w:pPr>
    </w:p>
    <w:p>
      <w:pPr>
        <w:pStyle w:val="Heading1"/>
        <w:numPr>
          <w:ilvl w:val="0"/>
          <w:numId w:val="3"/>
        </w:numPr>
        <w:tabs>
          <w:tab w:pos="839" w:val="left" w:leader="none"/>
          <w:tab w:pos="841" w:val="left" w:leader="none"/>
        </w:tabs>
        <w:spacing w:line="240" w:lineRule="auto" w:before="75" w:after="0"/>
        <w:ind w:left="840" w:right="0" w:hanging="721"/>
        <w:jc w:val="left"/>
        <w:rPr>
          <w:u w:val="none"/>
        </w:rPr>
      </w:pPr>
      <w:r>
        <w:rPr>
          <w:u w:val="thick"/>
        </w:rPr>
        <w:t>Multiple Opportunities to</w:t>
      </w:r>
      <w:r>
        <w:rPr>
          <w:spacing w:val="-5"/>
          <w:u w:val="thick"/>
        </w:rPr>
        <w:t> </w:t>
      </w:r>
      <w:r>
        <w:rPr>
          <w:u w:val="thick"/>
        </w:rPr>
        <w:t>Fix</w:t>
      </w:r>
    </w:p>
    <w:p>
      <w:pPr>
        <w:pStyle w:val="BodyText"/>
        <w:spacing w:before="8"/>
        <w:rPr>
          <w:b/>
          <w:sz w:val="22"/>
        </w:rPr>
      </w:pPr>
    </w:p>
    <w:p>
      <w:pPr>
        <w:pStyle w:val="ListParagraph"/>
        <w:numPr>
          <w:ilvl w:val="0"/>
          <w:numId w:val="1"/>
        </w:numPr>
        <w:tabs>
          <w:tab w:pos="841" w:val="left" w:leader="none"/>
        </w:tabs>
        <w:spacing w:line="360" w:lineRule="auto" w:before="94" w:after="0"/>
        <w:ind w:left="119" w:right="1196" w:firstLine="0"/>
        <w:jc w:val="both"/>
        <w:rPr>
          <w:sz w:val="20"/>
        </w:rPr>
      </w:pPr>
      <w:r>
        <w:rPr>
          <w:sz w:val="20"/>
        </w:rPr>
        <w:t>I verily believe that Varma and the other GSFC Nominees have had multiple opportunities to appoint</w:t>
      </w:r>
      <w:r>
        <w:rPr>
          <w:spacing w:val="-5"/>
          <w:sz w:val="20"/>
        </w:rPr>
        <w:t> </w:t>
      </w:r>
      <w:r>
        <w:rPr>
          <w:sz w:val="20"/>
        </w:rPr>
        <w:t>independent</w:t>
      </w:r>
      <w:r>
        <w:rPr>
          <w:spacing w:val="-4"/>
          <w:sz w:val="20"/>
        </w:rPr>
        <w:t> </w:t>
      </w:r>
      <w:r>
        <w:rPr>
          <w:sz w:val="20"/>
        </w:rPr>
        <w:t>directors</w:t>
      </w:r>
      <w:r>
        <w:rPr>
          <w:spacing w:val="-3"/>
          <w:sz w:val="20"/>
        </w:rPr>
        <w:t> </w:t>
      </w:r>
      <w:r>
        <w:rPr>
          <w:sz w:val="20"/>
        </w:rPr>
        <w:t>to</w:t>
      </w:r>
      <w:r>
        <w:rPr>
          <w:spacing w:val="-4"/>
          <w:sz w:val="20"/>
        </w:rPr>
        <w:t> </w:t>
      </w:r>
      <w:r>
        <w:rPr>
          <w:sz w:val="20"/>
        </w:rPr>
        <w:t>the</w:t>
      </w:r>
      <w:r>
        <w:rPr>
          <w:spacing w:val="-3"/>
          <w:sz w:val="20"/>
        </w:rPr>
        <w:t> </w:t>
      </w:r>
      <w:r>
        <w:rPr>
          <w:sz w:val="20"/>
        </w:rPr>
        <w:t>KRN</w:t>
      </w:r>
      <w:r>
        <w:rPr>
          <w:spacing w:val="-4"/>
          <w:sz w:val="20"/>
        </w:rPr>
        <w:t> </w:t>
      </w:r>
      <w:r>
        <w:rPr>
          <w:sz w:val="20"/>
        </w:rPr>
        <w:t>Board,</w:t>
      </w:r>
      <w:r>
        <w:rPr>
          <w:spacing w:val="-4"/>
          <w:sz w:val="20"/>
        </w:rPr>
        <w:t> </w:t>
      </w:r>
      <w:r>
        <w:rPr>
          <w:sz w:val="20"/>
        </w:rPr>
        <w:t>but</w:t>
      </w:r>
      <w:r>
        <w:rPr>
          <w:spacing w:val="-5"/>
          <w:sz w:val="20"/>
        </w:rPr>
        <w:t> </w:t>
      </w:r>
      <w:r>
        <w:rPr>
          <w:sz w:val="20"/>
        </w:rPr>
        <w:t>consciously</w:t>
      </w:r>
      <w:r>
        <w:rPr>
          <w:spacing w:val="-3"/>
          <w:sz w:val="20"/>
        </w:rPr>
        <w:t> </w:t>
      </w:r>
      <w:r>
        <w:rPr>
          <w:sz w:val="20"/>
        </w:rPr>
        <w:t>chose</w:t>
      </w:r>
      <w:r>
        <w:rPr>
          <w:spacing w:val="-4"/>
          <w:sz w:val="20"/>
        </w:rPr>
        <w:t> </w:t>
      </w:r>
      <w:r>
        <w:rPr>
          <w:sz w:val="20"/>
        </w:rPr>
        <w:t>not</w:t>
      </w:r>
      <w:r>
        <w:rPr>
          <w:spacing w:val="-4"/>
          <w:sz w:val="20"/>
        </w:rPr>
        <w:t> </w:t>
      </w:r>
      <w:r>
        <w:rPr>
          <w:sz w:val="20"/>
        </w:rPr>
        <w:t>to</w:t>
      </w:r>
      <w:r>
        <w:rPr>
          <w:spacing w:val="-4"/>
          <w:sz w:val="20"/>
        </w:rPr>
        <w:t> </w:t>
      </w:r>
      <w:r>
        <w:rPr>
          <w:sz w:val="20"/>
        </w:rPr>
        <w:t>take</w:t>
      </w:r>
      <w:r>
        <w:rPr>
          <w:spacing w:val="-3"/>
          <w:sz w:val="20"/>
        </w:rPr>
        <w:t> </w:t>
      </w:r>
      <w:r>
        <w:rPr>
          <w:sz w:val="20"/>
        </w:rPr>
        <w:t>advantage</w:t>
      </w:r>
      <w:r>
        <w:rPr>
          <w:spacing w:val="-5"/>
          <w:sz w:val="20"/>
        </w:rPr>
        <w:t> </w:t>
      </w:r>
      <w:r>
        <w:rPr>
          <w:sz w:val="20"/>
        </w:rPr>
        <w:t>of</w:t>
      </w:r>
      <w:r>
        <w:rPr>
          <w:spacing w:val="-4"/>
          <w:sz w:val="20"/>
        </w:rPr>
        <w:t> </w:t>
      </w:r>
      <w:r>
        <w:rPr>
          <w:sz w:val="20"/>
        </w:rPr>
        <w:t>any</w:t>
      </w:r>
      <w:r>
        <w:rPr>
          <w:spacing w:val="-5"/>
          <w:sz w:val="20"/>
        </w:rPr>
        <w:t> </w:t>
      </w:r>
      <w:r>
        <w:rPr>
          <w:sz w:val="20"/>
        </w:rPr>
        <w:t>such opportunity. These opportunities</w:t>
      </w:r>
      <w:r>
        <w:rPr>
          <w:spacing w:val="-4"/>
          <w:sz w:val="20"/>
        </w:rPr>
        <w:t> </w:t>
      </w:r>
      <w:r>
        <w:rPr>
          <w:sz w:val="20"/>
        </w:rPr>
        <w:t>included:</w:t>
      </w:r>
    </w:p>
    <w:p>
      <w:pPr>
        <w:pStyle w:val="BodyText"/>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in January 2019, when three (3) vacancies were created on the KRN</w:t>
      </w:r>
      <w:r>
        <w:rPr>
          <w:spacing w:val="-15"/>
          <w:sz w:val="20"/>
        </w:rPr>
        <w:t> </w:t>
      </w:r>
      <w:r>
        <w:rPr>
          <w:sz w:val="20"/>
        </w:rPr>
        <w:t>Board;</w:t>
      </w:r>
    </w:p>
    <w:p>
      <w:pPr>
        <w:pStyle w:val="BodyText"/>
        <w:spacing w:before="9"/>
        <w:rPr>
          <w:sz w:val="30"/>
        </w:rPr>
      </w:pPr>
    </w:p>
    <w:p>
      <w:pPr>
        <w:pStyle w:val="ListParagraph"/>
        <w:numPr>
          <w:ilvl w:val="1"/>
          <w:numId w:val="1"/>
        </w:numPr>
        <w:tabs>
          <w:tab w:pos="1559" w:val="left" w:leader="none"/>
          <w:tab w:pos="1560" w:val="left" w:leader="none"/>
        </w:tabs>
        <w:spacing w:line="355" w:lineRule="auto" w:before="0" w:after="0"/>
        <w:ind w:left="1559" w:right="1195" w:hanging="721"/>
        <w:jc w:val="both"/>
        <w:rPr>
          <w:sz w:val="20"/>
        </w:rPr>
      </w:pPr>
      <w:r>
        <w:rPr>
          <w:sz w:val="20"/>
        </w:rPr>
        <w:t>at</w:t>
      </w:r>
      <w:r>
        <w:rPr>
          <w:spacing w:val="-6"/>
          <w:sz w:val="20"/>
        </w:rPr>
        <w:t> </w:t>
      </w:r>
      <w:r>
        <w:rPr>
          <w:sz w:val="20"/>
        </w:rPr>
        <w:t>the</w:t>
      </w:r>
      <w:r>
        <w:rPr>
          <w:spacing w:val="-4"/>
          <w:sz w:val="20"/>
        </w:rPr>
        <w:t> </w:t>
      </w:r>
      <w:r>
        <w:rPr>
          <w:sz w:val="20"/>
        </w:rPr>
        <w:t>2019</w:t>
      </w:r>
      <w:r>
        <w:rPr>
          <w:spacing w:val="-5"/>
          <w:sz w:val="20"/>
        </w:rPr>
        <w:t> </w:t>
      </w:r>
      <w:r>
        <w:rPr>
          <w:sz w:val="20"/>
        </w:rPr>
        <w:t>AGM,</w:t>
      </w:r>
      <w:r>
        <w:rPr>
          <w:spacing w:val="-5"/>
          <w:sz w:val="20"/>
        </w:rPr>
        <w:t> </w:t>
      </w:r>
      <w:r>
        <w:rPr>
          <w:sz w:val="20"/>
        </w:rPr>
        <w:t>when</w:t>
      </w:r>
      <w:r>
        <w:rPr>
          <w:spacing w:val="-4"/>
          <w:sz w:val="20"/>
        </w:rPr>
        <w:t> </w:t>
      </w:r>
      <w:r>
        <w:rPr>
          <w:sz w:val="20"/>
        </w:rPr>
        <w:t>Varma</w:t>
      </w:r>
      <w:r>
        <w:rPr>
          <w:spacing w:val="-5"/>
          <w:sz w:val="20"/>
        </w:rPr>
        <w:t> </w:t>
      </w:r>
      <w:r>
        <w:rPr>
          <w:sz w:val="20"/>
        </w:rPr>
        <w:t>and</w:t>
      </w:r>
      <w:r>
        <w:rPr>
          <w:spacing w:val="-5"/>
          <w:sz w:val="20"/>
        </w:rPr>
        <w:t> </w:t>
      </w:r>
      <w:r>
        <w:rPr>
          <w:sz w:val="20"/>
        </w:rPr>
        <w:t>Nanavaty</w:t>
      </w:r>
      <w:r>
        <w:rPr>
          <w:spacing w:val="-5"/>
          <w:sz w:val="20"/>
        </w:rPr>
        <w:t> </w:t>
      </w:r>
      <w:r>
        <w:rPr>
          <w:sz w:val="20"/>
        </w:rPr>
        <w:t>could</w:t>
      </w:r>
      <w:r>
        <w:rPr>
          <w:spacing w:val="-6"/>
          <w:sz w:val="20"/>
        </w:rPr>
        <w:t> </w:t>
      </w:r>
      <w:r>
        <w:rPr>
          <w:sz w:val="20"/>
        </w:rPr>
        <w:t>have</w:t>
      </w:r>
      <w:r>
        <w:rPr>
          <w:spacing w:val="-5"/>
          <w:sz w:val="20"/>
        </w:rPr>
        <w:t> </w:t>
      </w:r>
      <w:r>
        <w:rPr>
          <w:sz w:val="20"/>
        </w:rPr>
        <w:t>put</w:t>
      </w:r>
      <w:r>
        <w:rPr>
          <w:spacing w:val="-5"/>
          <w:sz w:val="20"/>
        </w:rPr>
        <w:t> </w:t>
      </w:r>
      <w:r>
        <w:rPr>
          <w:sz w:val="20"/>
        </w:rPr>
        <w:t>a</w:t>
      </w:r>
      <w:r>
        <w:rPr>
          <w:spacing w:val="-6"/>
          <w:sz w:val="20"/>
        </w:rPr>
        <w:t> </w:t>
      </w:r>
      <w:r>
        <w:rPr>
          <w:sz w:val="20"/>
        </w:rPr>
        <w:t>slate</w:t>
      </w:r>
      <w:r>
        <w:rPr>
          <w:spacing w:val="-4"/>
          <w:sz w:val="20"/>
        </w:rPr>
        <w:t> </w:t>
      </w:r>
      <w:r>
        <w:rPr>
          <w:sz w:val="20"/>
        </w:rPr>
        <w:t>of</w:t>
      </w:r>
      <w:r>
        <w:rPr>
          <w:spacing w:val="-5"/>
          <w:sz w:val="20"/>
        </w:rPr>
        <w:t> </w:t>
      </w:r>
      <w:r>
        <w:rPr>
          <w:sz w:val="20"/>
        </w:rPr>
        <w:t>six</w:t>
      </w:r>
      <w:r>
        <w:rPr>
          <w:spacing w:val="-6"/>
          <w:sz w:val="20"/>
        </w:rPr>
        <w:t> </w:t>
      </w:r>
      <w:r>
        <w:rPr>
          <w:sz w:val="20"/>
        </w:rPr>
        <w:t>(6)</w:t>
      </w:r>
      <w:r>
        <w:rPr>
          <w:spacing w:val="-4"/>
          <w:sz w:val="20"/>
        </w:rPr>
        <w:t> </w:t>
      </w:r>
      <w:r>
        <w:rPr>
          <w:sz w:val="20"/>
        </w:rPr>
        <w:t>directors</w:t>
      </w:r>
      <w:r>
        <w:rPr>
          <w:spacing w:val="-4"/>
          <w:sz w:val="20"/>
        </w:rPr>
        <w:t> </w:t>
      </w:r>
      <w:r>
        <w:rPr>
          <w:sz w:val="20"/>
        </w:rPr>
        <w:t>for election, but consciously chose not to, and instead, put up the three (3) incumbent directors: Varma, Nanavaty and Rowan;</w:t>
      </w:r>
      <w:r>
        <w:rPr>
          <w:spacing w:val="-8"/>
          <w:sz w:val="20"/>
        </w:rPr>
        <w:t> </w:t>
      </w:r>
      <w:r>
        <w:rPr>
          <w:sz w:val="20"/>
        </w:rPr>
        <w:t>and</w:t>
      </w:r>
    </w:p>
    <w:p>
      <w:pPr>
        <w:pStyle w:val="BodyText"/>
        <w:spacing w:before="3"/>
        <w:rPr>
          <w:sz w:val="21"/>
        </w:rPr>
      </w:pPr>
    </w:p>
    <w:p>
      <w:pPr>
        <w:pStyle w:val="ListParagraph"/>
        <w:numPr>
          <w:ilvl w:val="1"/>
          <w:numId w:val="1"/>
        </w:numPr>
        <w:tabs>
          <w:tab w:pos="1559" w:val="left" w:leader="none"/>
          <w:tab w:pos="1560" w:val="left" w:leader="none"/>
        </w:tabs>
        <w:spacing w:line="350" w:lineRule="auto" w:before="0" w:after="0"/>
        <w:ind w:left="1559" w:right="1199" w:hanging="721"/>
        <w:jc w:val="both"/>
        <w:rPr>
          <w:sz w:val="20"/>
        </w:rPr>
      </w:pPr>
      <w:r>
        <w:rPr>
          <w:sz w:val="20"/>
        </w:rPr>
        <w:t>in July 2019, when instead of appointing any independent directors, a third GSFC Nominee, Anjaria, was appointed to the KRN</w:t>
      </w:r>
      <w:r>
        <w:rPr>
          <w:spacing w:val="-7"/>
          <w:sz w:val="20"/>
        </w:rPr>
        <w:t> </w:t>
      </w:r>
      <w:r>
        <w:rPr>
          <w:sz w:val="20"/>
        </w:rPr>
        <w:t>Board;</w:t>
      </w:r>
    </w:p>
    <w:p>
      <w:pPr>
        <w:pStyle w:val="BodyText"/>
        <w:spacing w:before="8"/>
        <w:rPr>
          <w:sz w:val="21"/>
        </w:rPr>
      </w:pPr>
    </w:p>
    <w:p>
      <w:pPr>
        <w:pStyle w:val="ListParagraph"/>
        <w:numPr>
          <w:ilvl w:val="1"/>
          <w:numId w:val="1"/>
        </w:numPr>
        <w:tabs>
          <w:tab w:pos="1559" w:val="left" w:leader="none"/>
          <w:tab w:pos="1560" w:val="left" w:leader="none"/>
        </w:tabs>
        <w:spacing w:line="355" w:lineRule="auto" w:before="0" w:after="0"/>
        <w:ind w:left="1559" w:right="1196" w:hanging="720"/>
        <w:jc w:val="both"/>
        <w:rPr>
          <w:sz w:val="20"/>
        </w:rPr>
      </w:pPr>
      <w:r>
        <w:rPr>
          <w:sz w:val="20"/>
        </w:rPr>
        <w:t>in May 2020, when Varma resigned from the KRN Board and created a vacancy on the KRN Board; Attached and marked as </w:t>
      </w:r>
      <w:r>
        <w:rPr>
          <w:b/>
          <w:sz w:val="20"/>
        </w:rPr>
        <w:t>Exhibit “R” </w:t>
      </w:r>
      <w:r>
        <w:rPr>
          <w:sz w:val="20"/>
        </w:rPr>
        <w:t>to the FDW Affidavit is a copy of the press release dated May 14,</w:t>
      </w:r>
      <w:r>
        <w:rPr>
          <w:spacing w:val="-6"/>
          <w:sz w:val="20"/>
        </w:rPr>
        <w:t> </w:t>
      </w:r>
      <w:r>
        <w:rPr>
          <w:sz w:val="20"/>
        </w:rPr>
        <w:t>2020;</w:t>
      </w:r>
    </w:p>
    <w:p>
      <w:pPr>
        <w:pStyle w:val="BodyText"/>
        <w:spacing w:before="4"/>
        <w:rPr>
          <w:sz w:val="21"/>
        </w:rPr>
      </w:pPr>
    </w:p>
    <w:p>
      <w:pPr>
        <w:pStyle w:val="ListParagraph"/>
        <w:numPr>
          <w:ilvl w:val="1"/>
          <w:numId w:val="1"/>
        </w:numPr>
        <w:tabs>
          <w:tab w:pos="1559" w:val="left" w:leader="none"/>
          <w:tab w:pos="1560" w:val="left" w:leader="none"/>
        </w:tabs>
        <w:spacing w:line="357" w:lineRule="auto" w:before="0" w:after="0"/>
        <w:ind w:left="1559" w:right="1197" w:hanging="720"/>
        <w:jc w:val="both"/>
        <w:rPr>
          <w:sz w:val="20"/>
        </w:rPr>
      </w:pPr>
      <w:r>
        <w:rPr>
          <w:sz w:val="20"/>
        </w:rPr>
        <w:t>at the annual general meeting of shareholders of KRN held on June 26, 2020 (the “2</w:t>
      </w:r>
      <w:r>
        <w:rPr>
          <w:b/>
          <w:sz w:val="20"/>
        </w:rPr>
        <w:t>020 AGM</w:t>
      </w:r>
      <w:r>
        <w:rPr>
          <w:sz w:val="20"/>
        </w:rPr>
        <w:t>”), when instead of appointing a majority of independent directors, only one (1) independent director, Scherman, was appointed to the KRN Board, with Nanavaty and Anjaria still holding a majority of the seats on the KRN Board; Attached and marked as </w:t>
      </w:r>
      <w:r>
        <w:rPr>
          <w:b/>
          <w:sz w:val="20"/>
        </w:rPr>
        <w:t>Exhibit “S” </w:t>
      </w:r>
      <w:r>
        <w:rPr>
          <w:sz w:val="20"/>
        </w:rPr>
        <w:t>to the FDW Affidavit is a copy of the voting results for the 2020 AGM;</w:t>
      </w:r>
      <w:r>
        <w:rPr>
          <w:spacing w:val="-28"/>
          <w:sz w:val="20"/>
        </w:rPr>
        <w:t> </w:t>
      </w:r>
      <w:r>
        <w:rPr>
          <w:sz w:val="20"/>
        </w:rPr>
        <w:t>and</w:t>
      </w:r>
    </w:p>
    <w:p>
      <w:pPr>
        <w:pStyle w:val="BodyText"/>
        <w:spacing w:before="2"/>
        <w:rPr>
          <w:sz w:val="21"/>
        </w:rPr>
      </w:pPr>
    </w:p>
    <w:p>
      <w:pPr>
        <w:pStyle w:val="ListParagraph"/>
        <w:numPr>
          <w:ilvl w:val="1"/>
          <w:numId w:val="1"/>
        </w:numPr>
        <w:tabs>
          <w:tab w:pos="1559" w:val="left" w:leader="none"/>
          <w:tab w:pos="1560" w:val="left" w:leader="none"/>
        </w:tabs>
        <w:spacing w:line="357" w:lineRule="auto" w:before="0" w:after="0"/>
        <w:ind w:left="1559" w:right="1197" w:hanging="721"/>
        <w:jc w:val="both"/>
        <w:rPr>
          <w:sz w:val="20"/>
        </w:rPr>
      </w:pPr>
      <w:r>
        <w:rPr>
          <w:sz w:val="20"/>
        </w:rPr>
        <w:t>at</w:t>
      </w:r>
      <w:r>
        <w:rPr>
          <w:spacing w:val="-5"/>
          <w:sz w:val="20"/>
        </w:rPr>
        <w:t> </w:t>
      </w:r>
      <w:r>
        <w:rPr>
          <w:sz w:val="20"/>
        </w:rPr>
        <w:t>the</w:t>
      </w:r>
      <w:r>
        <w:rPr>
          <w:spacing w:val="-5"/>
          <w:sz w:val="20"/>
        </w:rPr>
        <w:t> </w:t>
      </w:r>
      <w:r>
        <w:rPr>
          <w:sz w:val="20"/>
        </w:rPr>
        <w:t>2020</w:t>
      </w:r>
      <w:r>
        <w:rPr>
          <w:spacing w:val="-4"/>
          <w:sz w:val="20"/>
        </w:rPr>
        <w:t> </w:t>
      </w:r>
      <w:r>
        <w:rPr>
          <w:sz w:val="20"/>
        </w:rPr>
        <w:t>Special</w:t>
      </w:r>
      <w:r>
        <w:rPr>
          <w:spacing w:val="-4"/>
          <w:sz w:val="20"/>
        </w:rPr>
        <w:t> </w:t>
      </w:r>
      <w:r>
        <w:rPr>
          <w:sz w:val="20"/>
        </w:rPr>
        <w:t>Meeting</w:t>
      </w:r>
      <w:r>
        <w:rPr>
          <w:spacing w:val="-4"/>
          <w:sz w:val="20"/>
        </w:rPr>
        <w:t> </w:t>
      </w:r>
      <w:r>
        <w:rPr>
          <w:sz w:val="20"/>
        </w:rPr>
        <w:t>when,</w:t>
      </w:r>
      <w:r>
        <w:rPr>
          <w:spacing w:val="-5"/>
          <w:sz w:val="20"/>
        </w:rPr>
        <w:t> </w:t>
      </w:r>
      <w:r>
        <w:rPr>
          <w:sz w:val="20"/>
        </w:rPr>
        <w:t>instead</w:t>
      </w:r>
      <w:r>
        <w:rPr>
          <w:spacing w:val="-4"/>
          <w:sz w:val="20"/>
        </w:rPr>
        <w:t> </w:t>
      </w:r>
      <w:r>
        <w:rPr>
          <w:sz w:val="20"/>
        </w:rPr>
        <w:t>of</w:t>
      </w:r>
      <w:r>
        <w:rPr>
          <w:spacing w:val="-5"/>
          <w:sz w:val="20"/>
        </w:rPr>
        <w:t> </w:t>
      </w:r>
      <w:r>
        <w:rPr>
          <w:sz w:val="20"/>
        </w:rPr>
        <w:t>recommending</w:t>
      </w:r>
      <w:r>
        <w:rPr>
          <w:spacing w:val="-4"/>
          <w:sz w:val="20"/>
        </w:rPr>
        <w:t> </w:t>
      </w:r>
      <w:r>
        <w:rPr>
          <w:sz w:val="20"/>
        </w:rPr>
        <w:t>the</w:t>
      </w:r>
      <w:r>
        <w:rPr>
          <w:spacing w:val="-4"/>
          <w:sz w:val="20"/>
        </w:rPr>
        <w:t> </w:t>
      </w:r>
      <w:r>
        <w:rPr>
          <w:sz w:val="20"/>
        </w:rPr>
        <w:t>slate</w:t>
      </w:r>
      <w:r>
        <w:rPr>
          <w:spacing w:val="-4"/>
          <w:sz w:val="20"/>
        </w:rPr>
        <w:t> </w:t>
      </w:r>
      <w:r>
        <w:rPr>
          <w:sz w:val="20"/>
        </w:rPr>
        <w:t>of</w:t>
      </w:r>
      <w:r>
        <w:rPr>
          <w:spacing w:val="-5"/>
          <w:sz w:val="20"/>
        </w:rPr>
        <w:t> </w:t>
      </w:r>
      <w:r>
        <w:rPr>
          <w:sz w:val="20"/>
        </w:rPr>
        <w:t>four</w:t>
      </w:r>
      <w:r>
        <w:rPr>
          <w:spacing w:val="-4"/>
          <w:sz w:val="20"/>
        </w:rPr>
        <w:t> </w:t>
      </w:r>
      <w:r>
        <w:rPr>
          <w:sz w:val="20"/>
        </w:rPr>
        <w:t>(4)</w:t>
      </w:r>
      <w:r>
        <w:rPr>
          <w:spacing w:val="-5"/>
          <w:sz w:val="20"/>
        </w:rPr>
        <w:t> </w:t>
      </w:r>
      <w:r>
        <w:rPr>
          <w:sz w:val="20"/>
        </w:rPr>
        <w:t>dissident nominees,</w:t>
      </w:r>
      <w:r>
        <w:rPr>
          <w:spacing w:val="-7"/>
          <w:sz w:val="20"/>
        </w:rPr>
        <w:t> </w:t>
      </w:r>
      <w:r>
        <w:rPr>
          <w:sz w:val="20"/>
        </w:rPr>
        <w:t>GSFC</w:t>
      </w:r>
      <w:r>
        <w:rPr>
          <w:spacing w:val="-6"/>
          <w:sz w:val="20"/>
        </w:rPr>
        <w:t> </w:t>
      </w:r>
      <w:r>
        <w:rPr>
          <w:sz w:val="20"/>
        </w:rPr>
        <w:t>voted</w:t>
      </w:r>
      <w:r>
        <w:rPr>
          <w:spacing w:val="-6"/>
          <w:sz w:val="20"/>
        </w:rPr>
        <w:t> </w:t>
      </w:r>
      <w:r>
        <w:rPr>
          <w:sz w:val="20"/>
        </w:rPr>
        <w:t>to</w:t>
      </w:r>
      <w:r>
        <w:rPr>
          <w:spacing w:val="-8"/>
          <w:sz w:val="20"/>
        </w:rPr>
        <w:t> </w:t>
      </w:r>
      <w:r>
        <w:rPr>
          <w:sz w:val="20"/>
        </w:rPr>
        <w:t>keep</w:t>
      </w:r>
      <w:r>
        <w:rPr>
          <w:spacing w:val="-6"/>
          <w:sz w:val="20"/>
        </w:rPr>
        <w:t> </w:t>
      </w:r>
      <w:r>
        <w:rPr>
          <w:sz w:val="20"/>
        </w:rPr>
        <w:t>the</w:t>
      </w:r>
      <w:r>
        <w:rPr>
          <w:spacing w:val="-6"/>
          <w:sz w:val="20"/>
        </w:rPr>
        <w:t> </w:t>
      </w:r>
      <w:r>
        <w:rPr>
          <w:sz w:val="20"/>
        </w:rPr>
        <w:t>status</w:t>
      </w:r>
      <w:r>
        <w:rPr>
          <w:spacing w:val="-6"/>
          <w:sz w:val="20"/>
        </w:rPr>
        <w:t> </w:t>
      </w:r>
      <w:r>
        <w:rPr>
          <w:sz w:val="20"/>
        </w:rPr>
        <w:t>quo</w:t>
      </w:r>
      <w:r>
        <w:rPr>
          <w:spacing w:val="-6"/>
          <w:sz w:val="20"/>
        </w:rPr>
        <w:t> </w:t>
      </w:r>
      <w:r>
        <w:rPr>
          <w:sz w:val="20"/>
        </w:rPr>
        <w:t>on</w:t>
      </w:r>
      <w:r>
        <w:rPr>
          <w:spacing w:val="-6"/>
          <w:sz w:val="20"/>
        </w:rPr>
        <w:t> </w:t>
      </w:r>
      <w:r>
        <w:rPr>
          <w:sz w:val="20"/>
        </w:rPr>
        <w:t>the</w:t>
      </w:r>
      <w:r>
        <w:rPr>
          <w:spacing w:val="-6"/>
          <w:sz w:val="20"/>
        </w:rPr>
        <w:t> </w:t>
      </w:r>
      <w:r>
        <w:rPr>
          <w:sz w:val="20"/>
        </w:rPr>
        <w:t>KRN</w:t>
      </w:r>
      <w:r>
        <w:rPr>
          <w:spacing w:val="-6"/>
          <w:sz w:val="20"/>
        </w:rPr>
        <w:t> </w:t>
      </w:r>
      <w:r>
        <w:rPr>
          <w:sz w:val="20"/>
        </w:rPr>
        <w:t>Board</w:t>
      </w:r>
      <w:r>
        <w:rPr>
          <w:spacing w:val="-7"/>
          <w:sz w:val="20"/>
        </w:rPr>
        <w:t> </w:t>
      </w:r>
      <w:r>
        <w:rPr>
          <w:sz w:val="20"/>
        </w:rPr>
        <w:t>and</w:t>
      </w:r>
      <w:r>
        <w:rPr>
          <w:spacing w:val="-6"/>
          <w:sz w:val="20"/>
        </w:rPr>
        <w:t> </w:t>
      </w:r>
      <w:r>
        <w:rPr>
          <w:sz w:val="20"/>
        </w:rPr>
        <w:t>GSFC</w:t>
      </w:r>
      <w:r>
        <w:rPr>
          <w:spacing w:val="-6"/>
          <w:sz w:val="20"/>
        </w:rPr>
        <w:t> </w:t>
      </w:r>
      <w:r>
        <w:rPr>
          <w:sz w:val="20"/>
        </w:rPr>
        <w:t>control</w:t>
      </w:r>
      <w:r>
        <w:rPr>
          <w:spacing w:val="-7"/>
          <w:sz w:val="20"/>
        </w:rPr>
        <w:t> </w:t>
      </w:r>
      <w:r>
        <w:rPr>
          <w:sz w:val="20"/>
        </w:rPr>
        <w:t>of</w:t>
      </w:r>
      <w:r>
        <w:rPr>
          <w:spacing w:val="-6"/>
          <w:sz w:val="20"/>
        </w:rPr>
        <w:t> </w:t>
      </w:r>
      <w:r>
        <w:rPr>
          <w:sz w:val="20"/>
        </w:rPr>
        <w:t>the KRN Board. Attached and marked as </w:t>
      </w:r>
      <w:r>
        <w:rPr>
          <w:b/>
          <w:sz w:val="20"/>
        </w:rPr>
        <w:t>Exhibit “T” </w:t>
      </w:r>
      <w:r>
        <w:rPr>
          <w:sz w:val="20"/>
        </w:rPr>
        <w:t>to the FDW Affidavit is a copy of the voting results for the Special</w:t>
      </w:r>
      <w:r>
        <w:rPr>
          <w:spacing w:val="-5"/>
          <w:sz w:val="20"/>
        </w:rPr>
        <w:t> </w:t>
      </w:r>
      <w:r>
        <w:rPr>
          <w:sz w:val="20"/>
        </w:rPr>
        <w:t>Meeting.</w:t>
      </w:r>
    </w:p>
    <w:p>
      <w:pPr>
        <w:pStyle w:val="BodyText"/>
        <w:spacing w:before="9"/>
      </w:pPr>
    </w:p>
    <w:p>
      <w:pPr>
        <w:pStyle w:val="Heading1"/>
        <w:spacing w:before="1"/>
        <w:ind w:left="119" w:firstLine="0"/>
        <w:rPr>
          <w:u w:val="none"/>
        </w:rPr>
      </w:pPr>
      <w:r>
        <w:rPr>
          <w:u w:val="none"/>
        </w:rPr>
        <w:t>Management of KRN</w:t>
      </w:r>
    </w:p>
    <w:p>
      <w:pPr>
        <w:pStyle w:val="BodyText"/>
        <w:spacing w:before="9"/>
        <w:rPr>
          <w:b/>
          <w:sz w:val="30"/>
        </w:rPr>
      </w:pPr>
    </w:p>
    <w:p>
      <w:pPr>
        <w:pStyle w:val="ListParagraph"/>
        <w:numPr>
          <w:ilvl w:val="0"/>
          <w:numId w:val="1"/>
        </w:numPr>
        <w:tabs>
          <w:tab w:pos="840" w:val="left" w:leader="none"/>
        </w:tabs>
        <w:spacing w:line="360" w:lineRule="auto" w:before="0" w:after="0"/>
        <w:ind w:left="839" w:right="1197" w:hanging="720"/>
        <w:jc w:val="both"/>
        <w:rPr>
          <w:sz w:val="20"/>
        </w:rPr>
      </w:pPr>
      <w:r>
        <w:rPr>
          <w:sz w:val="20"/>
        </w:rPr>
        <w:t>In</w:t>
      </w:r>
      <w:r>
        <w:rPr>
          <w:spacing w:val="-4"/>
          <w:sz w:val="20"/>
        </w:rPr>
        <w:t> </w:t>
      </w:r>
      <w:r>
        <w:rPr>
          <w:sz w:val="20"/>
        </w:rPr>
        <w:t>May</w:t>
      </w:r>
      <w:r>
        <w:rPr>
          <w:spacing w:val="-4"/>
          <w:sz w:val="20"/>
        </w:rPr>
        <w:t> </w:t>
      </w:r>
      <w:r>
        <w:rPr>
          <w:sz w:val="20"/>
        </w:rPr>
        <w:t>2017,</w:t>
      </w:r>
      <w:r>
        <w:rPr>
          <w:spacing w:val="-4"/>
          <w:sz w:val="20"/>
        </w:rPr>
        <w:t> </w:t>
      </w:r>
      <w:r>
        <w:rPr>
          <w:sz w:val="20"/>
        </w:rPr>
        <w:t>after</w:t>
      </w:r>
      <w:r>
        <w:rPr>
          <w:spacing w:val="-3"/>
          <w:sz w:val="20"/>
        </w:rPr>
        <w:t> </w:t>
      </w:r>
      <w:r>
        <w:rPr>
          <w:sz w:val="20"/>
        </w:rPr>
        <w:t>I</w:t>
      </w:r>
      <w:r>
        <w:rPr>
          <w:spacing w:val="-4"/>
          <w:sz w:val="20"/>
        </w:rPr>
        <w:t> </w:t>
      </w:r>
      <w:r>
        <w:rPr>
          <w:sz w:val="20"/>
        </w:rPr>
        <w:t>was</w:t>
      </w:r>
      <w:r>
        <w:rPr>
          <w:spacing w:val="-2"/>
          <w:sz w:val="20"/>
        </w:rPr>
        <w:t> </w:t>
      </w:r>
      <w:r>
        <w:rPr>
          <w:sz w:val="20"/>
        </w:rPr>
        <w:t>elected</w:t>
      </w:r>
      <w:r>
        <w:rPr>
          <w:spacing w:val="-3"/>
          <w:sz w:val="20"/>
        </w:rPr>
        <w:t> </w:t>
      </w:r>
      <w:r>
        <w:rPr>
          <w:sz w:val="20"/>
        </w:rPr>
        <w:t>to</w:t>
      </w:r>
      <w:r>
        <w:rPr>
          <w:spacing w:val="-3"/>
          <w:sz w:val="20"/>
        </w:rPr>
        <w:t> </w:t>
      </w:r>
      <w:r>
        <w:rPr>
          <w:sz w:val="20"/>
        </w:rPr>
        <w:t>the</w:t>
      </w:r>
      <w:r>
        <w:rPr>
          <w:spacing w:val="-4"/>
          <w:sz w:val="20"/>
        </w:rPr>
        <w:t> </w:t>
      </w:r>
      <w:r>
        <w:rPr>
          <w:sz w:val="20"/>
        </w:rPr>
        <w:t>KRN</w:t>
      </w:r>
      <w:r>
        <w:rPr>
          <w:spacing w:val="-3"/>
          <w:sz w:val="20"/>
        </w:rPr>
        <w:t> </w:t>
      </w:r>
      <w:r>
        <w:rPr>
          <w:sz w:val="20"/>
        </w:rPr>
        <w:t>Board</w:t>
      </w:r>
      <w:r>
        <w:rPr>
          <w:spacing w:val="-5"/>
          <w:sz w:val="20"/>
        </w:rPr>
        <w:t> </w:t>
      </w:r>
      <w:r>
        <w:rPr>
          <w:sz w:val="20"/>
        </w:rPr>
        <w:t>at</w:t>
      </w:r>
      <w:r>
        <w:rPr>
          <w:spacing w:val="-4"/>
          <w:sz w:val="20"/>
        </w:rPr>
        <w:t> </w:t>
      </w:r>
      <w:r>
        <w:rPr>
          <w:sz w:val="20"/>
        </w:rPr>
        <w:t>the</w:t>
      </w:r>
      <w:r>
        <w:rPr>
          <w:spacing w:val="-3"/>
          <w:sz w:val="20"/>
        </w:rPr>
        <w:t> </w:t>
      </w:r>
      <w:r>
        <w:rPr>
          <w:sz w:val="20"/>
        </w:rPr>
        <w:t>May</w:t>
      </w:r>
      <w:r>
        <w:rPr>
          <w:spacing w:val="-4"/>
          <w:sz w:val="20"/>
        </w:rPr>
        <w:t> </w:t>
      </w:r>
      <w:r>
        <w:rPr>
          <w:sz w:val="20"/>
        </w:rPr>
        <w:t>2017</w:t>
      </w:r>
      <w:r>
        <w:rPr>
          <w:spacing w:val="-3"/>
          <w:sz w:val="20"/>
        </w:rPr>
        <w:t> </w:t>
      </w:r>
      <w:r>
        <w:rPr>
          <w:sz w:val="20"/>
        </w:rPr>
        <w:t>AGM,</w:t>
      </w:r>
      <w:r>
        <w:rPr>
          <w:spacing w:val="-4"/>
          <w:sz w:val="20"/>
        </w:rPr>
        <w:t> </w:t>
      </w:r>
      <w:r>
        <w:rPr>
          <w:sz w:val="20"/>
        </w:rPr>
        <w:t>the</w:t>
      </w:r>
      <w:r>
        <w:rPr>
          <w:spacing w:val="-3"/>
          <w:sz w:val="20"/>
        </w:rPr>
        <w:t> </w:t>
      </w:r>
      <w:r>
        <w:rPr>
          <w:sz w:val="20"/>
        </w:rPr>
        <w:t>KRN</w:t>
      </w:r>
      <w:r>
        <w:rPr>
          <w:spacing w:val="-3"/>
          <w:sz w:val="20"/>
        </w:rPr>
        <w:t> </w:t>
      </w:r>
      <w:r>
        <w:rPr>
          <w:sz w:val="20"/>
        </w:rPr>
        <w:t>Board</w:t>
      </w:r>
      <w:r>
        <w:rPr>
          <w:spacing w:val="-3"/>
          <w:sz w:val="20"/>
        </w:rPr>
        <w:t> </w:t>
      </w:r>
      <w:r>
        <w:rPr>
          <w:sz w:val="20"/>
        </w:rPr>
        <w:t>decided that the chief executive officer at the time should be terminated. Rowan was appointed the interim chief executive officer. Attached and marked as </w:t>
      </w:r>
      <w:r>
        <w:rPr>
          <w:b/>
          <w:sz w:val="20"/>
        </w:rPr>
        <w:t>Exhibit “U” </w:t>
      </w:r>
      <w:r>
        <w:rPr>
          <w:sz w:val="20"/>
        </w:rPr>
        <w:t>to the FDW Affidavit is a copy of the Karnalyte press release of July 20,</w:t>
      </w:r>
      <w:r>
        <w:rPr>
          <w:spacing w:val="-8"/>
          <w:sz w:val="20"/>
        </w:rPr>
        <w:t> </w:t>
      </w:r>
      <w:r>
        <w:rPr>
          <w:sz w:val="20"/>
        </w:rPr>
        <w:t>2017.</w:t>
      </w:r>
    </w:p>
    <w:p>
      <w:pPr>
        <w:spacing w:after="0" w:line="360" w:lineRule="auto"/>
        <w:jc w:val="both"/>
        <w:rPr>
          <w:sz w:val="20"/>
        </w:rPr>
        <w:sectPr>
          <w:pgSz w:w="12240" w:h="15840"/>
          <w:pgMar w:header="0" w:footer="971" w:top="1220" w:bottom="1160" w:left="1320" w:right="240"/>
        </w:sectPr>
      </w:pPr>
    </w:p>
    <w:p>
      <w:pPr>
        <w:pStyle w:val="ListParagraph"/>
        <w:numPr>
          <w:ilvl w:val="0"/>
          <w:numId w:val="1"/>
        </w:numPr>
        <w:tabs>
          <w:tab w:pos="841" w:val="left" w:leader="none"/>
        </w:tabs>
        <w:spacing w:line="360" w:lineRule="auto" w:before="75" w:after="0"/>
        <w:ind w:left="840" w:right="1196" w:hanging="721"/>
        <w:jc w:val="both"/>
        <w:rPr>
          <w:sz w:val="20"/>
        </w:rPr>
      </w:pPr>
      <w:r>
        <w:rPr>
          <w:sz w:val="20"/>
        </w:rPr>
        <w:t>In August 2017, the State Bank of India (“</w:t>
      </w:r>
      <w:r>
        <w:rPr>
          <w:b/>
          <w:sz w:val="20"/>
        </w:rPr>
        <w:t>SBI</w:t>
      </w:r>
      <w:r>
        <w:rPr>
          <w:sz w:val="20"/>
        </w:rPr>
        <w:t>”) made a presentation to the KRN Board regarding steps the KRN Board should take in order to position itself to undertake project financing of the Potash</w:t>
      </w:r>
      <w:r>
        <w:rPr>
          <w:spacing w:val="-12"/>
          <w:sz w:val="20"/>
        </w:rPr>
        <w:t> </w:t>
      </w:r>
      <w:r>
        <w:rPr>
          <w:sz w:val="20"/>
        </w:rPr>
        <w:t>Project.</w:t>
      </w:r>
      <w:r>
        <w:rPr>
          <w:spacing w:val="31"/>
          <w:sz w:val="20"/>
        </w:rPr>
        <w:t> </w:t>
      </w:r>
      <w:r>
        <w:rPr>
          <w:sz w:val="20"/>
        </w:rPr>
        <w:t>The</w:t>
      </w:r>
      <w:r>
        <w:rPr>
          <w:spacing w:val="-11"/>
          <w:sz w:val="20"/>
        </w:rPr>
        <w:t> </w:t>
      </w:r>
      <w:r>
        <w:rPr>
          <w:sz w:val="20"/>
        </w:rPr>
        <w:t>presentation</w:t>
      </w:r>
      <w:r>
        <w:rPr>
          <w:spacing w:val="-12"/>
          <w:sz w:val="20"/>
        </w:rPr>
        <w:t> </w:t>
      </w:r>
      <w:r>
        <w:rPr>
          <w:sz w:val="20"/>
        </w:rPr>
        <w:t>indicated</w:t>
      </w:r>
      <w:r>
        <w:rPr>
          <w:spacing w:val="-12"/>
          <w:sz w:val="20"/>
        </w:rPr>
        <w:t> </w:t>
      </w:r>
      <w:r>
        <w:rPr>
          <w:sz w:val="20"/>
        </w:rPr>
        <w:t>that</w:t>
      </w:r>
      <w:r>
        <w:rPr>
          <w:spacing w:val="-12"/>
          <w:sz w:val="20"/>
        </w:rPr>
        <w:t> </w:t>
      </w:r>
      <w:r>
        <w:rPr>
          <w:sz w:val="20"/>
        </w:rPr>
        <w:t>a</w:t>
      </w:r>
      <w:r>
        <w:rPr>
          <w:spacing w:val="-12"/>
          <w:sz w:val="20"/>
        </w:rPr>
        <w:t> </w:t>
      </w:r>
      <w:r>
        <w:rPr>
          <w:sz w:val="20"/>
        </w:rPr>
        <w:t>critical</w:t>
      </w:r>
      <w:r>
        <w:rPr>
          <w:spacing w:val="-13"/>
          <w:sz w:val="20"/>
        </w:rPr>
        <w:t> </w:t>
      </w:r>
      <w:r>
        <w:rPr>
          <w:sz w:val="20"/>
        </w:rPr>
        <w:t>step</w:t>
      </w:r>
      <w:r>
        <w:rPr>
          <w:spacing w:val="-11"/>
          <w:sz w:val="20"/>
        </w:rPr>
        <w:t> </w:t>
      </w:r>
      <w:r>
        <w:rPr>
          <w:sz w:val="20"/>
        </w:rPr>
        <w:t>was</w:t>
      </w:r>
      <w:r>
        <w:rPr>
          <w:spacing w:val="-12"/>
          <w:sz w:val="20"/>
        </w:rPr>
        <w:t> </w:t>
      </w:r>
      <w:r>
        <w:rPr>
          <w:sz w:val="20"/>
        </w:rPr>
        <w:t>the</w:t>
      </w:r>
      <w:r>
        <w:rPr>
          <w:spacing w:val="-12"/>
          <w:sz w:val="20"/>
        </w:rPr>
        <w:t> </w:t>
      </w:r>
      <w:r>
        <w:rPr>
          <w:sz w:val="20"/>
        </w:rPr>
        <w:t>appointment</w:t>
      </w:r>
      <w:r>
        <w:rPr>
          <w:spacing w:val="-12"/>
          <w:sz w:val="20"/>
        </w:rPr>
        <w:t> </w:t>
      </w:r>
      <w:r>
        <w:rPr>
          <w:sz w:val="20"/>
        </w:rPr>
        <w:t>of</w:t>
      </w:r>
      <w:r>
        <w:rPr>
          <w:spacing w:val="-13"/>
          <w:sz w:val="20"/>
        </w:rPr>
        <w:t> </w:t>
      </w:r>
      <w:r>
        <w:rPr>
          <w:sz w:val="20"/>
        </w:rPr>
        <w:t>“</w:t>
      </w:r>
      <w:r>
        <w:rPr>
          <w:i/>
          <w:sz w:val="20"/>
        </w:rPr>
        <w:t>a</w:t>
      </w:r>
      <w:r>
        <w:rPr>
          <w:i/>
          <w:spacing w:val="-11"/>
          <w:sz w:val="20"/>
        </w:rPr>
        <w:t> </w:t>
      </w:r>
      <w:r>
        <w:rPr>
          <w:i/>
          <w:sz w:val="20"/>
        </w:rPr>
        <w:t>competent </w:t>
      </w:r>
      <w:r>
        <w:rPr>
          <w:i/>
          <w:sz w:val="20"/>
        </w:rPr>
        <w:t>and trustworthy CEO</w:t>
      </w:r>
      <w:r>
        <w:rPr>
          <w:sz w:val="20"/>
        </w:rPr>
        <w:t>”. Competence also included experience with all aspects of project finance for mining projects with capital costs of between $500 million to $1 billion. The Potash Project has an initial capital cost of approximately $800</w:t>
      </w:r>
      <w:r>
        <w:rPr>
          <w:spacing w:val="-8"/>
          <w:sz w:val="20"/>
        </w:rPr>
        <w:t> </w:t>
      </w:r>
      <w:r>
        <w:rPr>
          <w:sz w:val="20"/>
        </w:rPr>
        <w:t>million.</w:t>
      </w:r>
    </w:p>
    <w:p>
      <w:pPr>
        <w:pStyle w:val="BodyText"/>
        <w:spacing w:before="11"/>
      </w:pPr>
    </w:p>
    <w:p>
      <w:pPr>
        <w:pStyle w:val="ListParagraph"/>
        <w:numPr>
          <w:ilvl w:val="0"/>
          <w:numId w:val="1"/>
        </w:numPr>
        <w:tabs>
          <w:tab w:pos="841" w:val="left" w:leader="none"/>
        </w:tabs>
        <w:spacing w:line="360" w:lineRule="auto" w:before="0" w:after="0"/>
        <w:ind w:left="840" w:right="1198" w:hanging="720"/>
        <w:jc w:val="both"/>
        <w:rPr>
          <w:sz w:val="20"/>
        </w:rPr>
      </w:pPr>
      <w:r>
        <w:rPr>
          <w:sz w:val="20"/>
        </w:rPr>
        <w:t>In late summer of 2017, the KRN Board decided to hire an executive search firm to identify a competent, qualified and experienced CEO. Attached and marked as </w:t>
      </w:r>
      <w:r>
        <w:rPr>
          <w:b/>
          <w:sz w:val="20"/>
        </w:rPr>
        <w:t>Exhibit “W” </w:t>
      </w:r>
      <w:r>
        <w:rPr>
          <w:sz w:val="20"/>
        </w:rPr>
        <w:t>to the FDW Affidavit is a copy of the August 2017 advertisment for search for a</w:t>
      </w:r>
      <w:r>
        <w:rPr>
          <w:spacing w:val="-15"/>
          <w:sz w:val="20"/>
        </w:rPr>
        <w:t> </w:t>
      </w:r>
      <w:r>
        <w:rPr>
          <w:sz w:val="20"/>
        </w:rPr>
        <w:t>CEO.</w:t>
      </w:r>
    </w:p>
    <w:p>
      <w:pPr>
        <w:pStyle w:val="BodyText"/>
        <w:spacing w:before="9"/>
      </w:pPr>
    </w:p>
    <w:p>
      <w:pPr>
        <w:pStyle w:val="ListParagraph"/>
        <w:numPr>
          <w:ilvl w:val="0"/>
          <w:numId w:val="1"/>
        </w:numPr>
        <w:tabs>
          <w:tab w:pos="841" w:val="left" w:leader="none"/>
        </w:tabs>
        <w:spacing w:line="360" w:lineRule="auto" w:before="1" w:after="0"/>
        <w:ind w:left="840" w:right="1196" w:hanging="721"/>
        <w:jc w:val="both"/>
        <w:rPr>
          <w:sz w:val="20"/>
        </w:rPr>
      </w:pPr>
      <w:r>
        <w:rPr>
          <w:sz w:val="20"/>
        </w:rPr>
        <w:t>In February 2018, Wheatley was hired as President on a one-year contract, with a view to him becoming the permanent CEO after one year. Wheatley is a corporate, securities and mining lawyer, and has more than 35 years experience working as lawyer, general counsel, member of executive</w:t>
      </w:r>
      <w:r>
        <w:rPr>
          <w:spacing w:val="-7"/>
          <w:sz w:val="20"/>
        </w:rPr>
        <w:t> </w:t>
      </w:r>
      <w:r>
        <w:rPr>
          <w:sz w:val="20"/>
        </w:rPr>
        <w:t>management,</w:t>
      </w:r>
      <w:r>
        <w:rPr>
          <w:spacing w:val="-8"/>
          <w:sz w:val="20"/>
        </w:rPr>
        <w:t> </w:t>
      </w:r>
      <w:r>
        <w:rPr>
          <w:sz w:val="20"/>
        </w:rPr>
        <w:t>President</w:t>
      </w:r>
      <w:r>
        <w:rPr>
          <w:spacing w:val="-8"/>
          <w:sz w:val="20"/>
        </w:rPr>
        <w:t> </w:t>
      </w:r>
      <w:r>
        <w:rPr>
          <w:sz w:val="20"/>
        </w:rPr>
        <w:t>and</w:t>
      </w:r>
      <w:r>
        <w:rPr>
          <w:spacing w:val="-7"/>
          <w:sz w:val="20"/>
        </w:rPr>
        <w:t> </w:t>
      </w:r>
      <w:r>
        <w:rPr>
          <w:sz w:val="20"/>
        </w:rPr>
        <w:t>CEO</w:t>
      </w:r>
      <w:r>
        <w:rPr>
          <w:spacing w:val="-7"/>
          <w:sz w:val="20"/>
        </w:rPr>
        <w:t> </w:t>
      </w:r>
      <w:r>
        <w:rPr>
          <w:sz w:val="20"/>
        </w:rPr>
        <w:t>of</w:t>
      </w:r>
      <w:r>
        <w:rPr>
          <w:spacing w:val="-8"/>
          <w:sz w:val="20"/>
        </w:rPr>
        <w:t> </w:t>
      </w:r>
      <w:r>
        <w:rPr>
          <w:sz w:val="20"/>
        </w:rPr>
        <w:t>many</w:t>
      </w:r>
      <w:r>
        <w:rPr>
          <w:spacing w:val="-7"/>
          <w:sz w:val="20"/>
        </w:rPr>
        <w:t> </w:t>
      </w:r>
      <w:r>
        <w:rPr>
          <w:sz w:val="20"/>
        </w:rPr>
        <w:t>Canadian</w:t>
      </w:r>
      <w:r>
        <w:rPr>
          <w:spacing w:val="-7"/>
          <w:sz w:val="20"/>
        </w:rPr>
        <w:t> </w:t>
      </w:r>
      <w:r>
        <w:rPr>
          <w:sz w:val="20"/>
        </w:rPr>
        <w:t>public</w:t>
      </w:r>
      <w:r>
        <w:rPr>
          <w:spacing w:val="-6"/>
          <w:sz w:val="20"/>
        </w:rPr>
        <w:t> </w:t>
      </w:r>
      <w:r>
        <w:rPr>
          <w:sz w:val="20"/>
        </w:rPr>
        <w:t>mining</w:t>
      </w:r>
      <w:r>
        <w:rPr>
          <w:spacing w:val="-9"/>
          <w:sz w:val="20"/>
        </w:rPr>
        <w:t> </w:t>
      </w:r>
      <w:r>
        <w:rPr>
          <w:sz w:val="20"/>
        </w:rPr>
        <w:t>companies,</w:t>
      </w:r>
      <w:r>
        <w:rPr>
          <w:spacing w:val="-8"/>
          <w:sz w:val="20"/>
        </w:rPr>
        <w:t> </w:t>
      </w:r>
      <w:r>
        <w:rPr>
          <w:sz w:val="20"/>
        </w:rPr>
        <w:t>and</w:t>
      </w:r>
      <w:r>
        <w:rPr>
          <w:spacing w:val="-8"/>
          <w:sz w:val="20"/>
        </w:rPr>
        <w:t> </w:t>
      </w:r>
      <w:r>
        <w:rPr>
          <w:sz w:val="20"/>
        </w:rPr>
        <w:t>also had extensive experience as an independent director of Canadian public companies. The KRN Board</w:t>
      </w:r>
      <w:r>
        <w:rPr>
          <w:spacing w:val="-8"/>
          <w:sz w:val="20"/>
        </w:rPr>
        <w:t> </w:t>
      </w:r>
      <w:r>
        <w:rPr>
          <w:sz w:val="20"/>
        </w:rPr>
        <w:t>felt</w:t>
      </w:r>
      <w:r>
        <w:rPr>
          <w:spacing w:val="-8"/>
          <w:sz w:val="20"/>
        </w:rPr>
        <w:t> </w:t>
      </w:r>
      <w:r>
        <w:rPr>
          <w:sz w:val="20"/>
        </w:rPr>
        <w:t>Wheatley</w:t>
      </w:r>
      <w:r>
        <w:rPr>
          <w:spacing w:val="-8"/>
          <w:sz w:val="20"/>
        </w:rPr>
        <w:t> </w:t>
      </w:r>
      <w:r>
        <w:rPr>
          <w:sz w:val="20"/>
        </w:rPr>
        <w:t>had</w:t>
      </w:r>
      <w:r>
        <w:rPr>
          <w:spacing w:val="-7"/>
          <w:sz w:val="20"/>
        </w:rPr>
        <w:t> </w:t>
      </w:r>
      <w:r>
        <w:rPr>
          <w:sz w:val="20"/>
        </w:rPr>
        <w:t>the</w:t>
      </w:r>
      <w:r>
        <w:rPr>
          <w:spacing w:val="-7"/>
          <w:sz w:val="20"/>
        </w:rPr>
        <w:t> </w:t>
      </w:r>
      <w:r>
        <w:rPr>
          <w:sz w:val="20"/>
        </w:rPr>
        <w:t>skills,</w:t>
      </w:r>
      <w:r>
        <w:rPr>
          <w:spacing w:val="-9"/>
          <w:sz w:val="20"/>
        </w:rPr>
        <w:t> </w:t>
      </w:r>
      <w:r>
        <w:rPr>
          <w:sz w:val="20"/>
        </w:rPr>
        <w:t>background</w:t>
      </w:r>
      <w:r>
        <w:rPr>
          <w:spacing w:val="-7"/>
          <w:sz w:val="20"/>
        </w:rPr>
        <w:t> </w:t>
      </w:r>
      <w:r>
        <w:rPr>
          <w:sz w:val="20"/>
        </w:rPr>
        <w:t>and</w:t>
      </w:r>
      <w:r>
        <w:rPr>
          <w:spacing w:val="-7"/>
          <w:sz w:val="20"/>
        </w:rPr>
        <w:t> </w:t>
      </w:r>
      <w:r>
        <w:rPr>
          <w:sz w:val="20"/>
        </w:rPr>
        <w:t>experience,</w:t>
      </w:r>
      <w:r>
        <w:rPr>
          <w:spacing w:val="-9"/>
          <w:sz w:val="20"/>
        </w:rPr>
        <w:t> </w:t>
      </w:r>
      <w:r>
        <w:rPr>
          <w:sz w:val="20"/>
        </w:rPr>
        <w:t>including</w:t>
      </w:r>
      <w:r>
        <w:rPr>
          <w:spacing w:val="-7"/>
          <w:sz w:val="20"/>
        </w:rPr>
        <w:t> </w:t>
      </w:r>
      <w:r>
        <w:rPr>
          <w:sz w:val="20"/>
        </w:rPr>
        <w:t>extensive</w:t>
      </w:r>
      <w:r>
        <w:rPr>
          <w:spacing w:val="-7"/>
          <w:sz w:val="20"/>
        </w:rPr>
        <w:t> </w:t>
      </w:r>
      <w:r>
        <w:rPr>
          <w:sz w:val="20"/>
        </w:rPr>
        <w:t>project</w:t>
      </w:r>
      <w:r>
        <w:rPr>
          <w:spacing w:val="-9"/>
          <w:sz w:val="20"/>
        </w:rPr>
        <w:t> </w:t>
      </w:r>
      <w:r>
        <w:rPr>
          <w:sz w:val="20"/>
        </w:rPr>
        <w:t>finance experience for mining projects, necessary to advance the business of KRN. Attached and marked as </w:t>
      </w:r>
      <w:r>
        <w:rPr>
          <w:b/>
          <w:sz w:val="20"/>
        </w:rPr>
        <w:t>Exhibit “X” </w:t>
      </w:r>
      <w:r>
        <w:rPr>
          <w:sz w:val="20"/>
        </w:rPr>
        <w:t>to the FDW Affidavit is a copy of the Karnalyte press release of February 5,</w:t>
      </w:r>
      <w:r>
        <w:rPr>
          <w:spacing w:val="-33"/>
          <w:sz w:val="20"/>
        </w:rPr>
        <w:t> </w:t>
      </w:r>
      <w:r>
        <w:rPr>
          <w:sz w:val="20"/>
        </w:rPr>
        <w:t>2018.</w:t>
      </w:r>
    </w:p>
    <w:p>
      <w:pPr>
        <w:pStyle w:val="BodyText"/>
        <w:spacing w:before="10"/>
      </w:pPr>
    </w:p>
    <w:p>
      <w:pPr>
        <w:pStyle w:val="ListParagraph"/>
        <w:numPr>
          <w:ilvl w:val="0"/>
          <w:numId w:val="1"/>
        </w:numPr>
        <w:tabs>
          <w:tab w:pos="841" w:val="left" w:leader="none"/>
        </w:tabs>
        <w:spacing w:line="360" w:lineRule="auto" w:before="0" w:after="0"/>
        <w:ind w:left="840" w:right="1197" w:hanging="721"/>
        <w:jc w:val="both"/>
        <w:rPr>
          <w:sz w:val="20"/>
        </w:rPr>
      </w:pPr>
      <w:r>
        <w:rPr>
          <w:sz w:val="20"/>
        </w:rPr>
        <w:t>I approved the hiring of Wheatley as a member of the KRN Board. The hiring of Wheatley was approved unanimously by the KRN Board, which included Varma and</w:t>
      </w:r>
      <w:r>
        <w:rPr>
          <w:spacing w:val="-14"/>
          <w:sz w:val="20"/>
        </w:rPr>
        <w:t> </w:t>
      </w:r>
      <w:r>
        <w:rPr>
          <w:sz w:val="20"/>
        </w:rPr>
        <w:t>Nanavaty.</w:t>
      </w:r>
    </w:p>
    <w:p>
      <w:pPr>
        <w:pStyle w:val="BodyText"/>
        <w:spacing w:before="9"/>
      </w:pPr>
    </w:p>
    <w:p>
      <w:pPr>
        <w:pStyle w:val="Heading1"/>
        <w:numPr>
          <w:ilvl w:val="0"/>
          <w:numId w:val="4"/>
        </w:numPr>
        <w:tabs>
          <w:tab w:pos="839" w:val="left" w:leader="none"/>
          <w:tab w:pos="841" w:val="left" w:leader="none"/>
        </w:tabs>
        <w:spacing w:line="240" w:lineRule="auto" w:before="0" w:after="0"/>
        <w:ind w:left="840" w:right="0" w:hanging="721"/>
        <w:jc w:val="left"/>
        <w:rPr>
          <w:u w:val="none"/>
        </w:rPr>
      </w:pPr>
      <w:r>
        <w:rPr>
          <w:u w:val="thick"/>
        </w:rPr>
        <w:t>Corporate</w:t>
      </w:r>
      <w:r>
        <w:rPr>
          <w:spacing w:val="-2"/>
          <w:u w:val="thick"/>
        </w:rPr>
        <w:t> </w:t>
      </w:r>
      <w:r>
        <w:rPr>
          <w:u w:val="thick"/>
        </w:rPr>
        <w:t>Strategy</w:t>
      </w:r>
    </w:p>
    <w:p>
      <w:pPr>
        <w:pStyle w:val="BodyText"/>
        <w:spacing w:before="9"/>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During Wheatley’s first six months on the job, he successfully defended a proxy fight from the original founder of KRN, created a new corporate strategy for KRN that included the Nitrogen Project,</w:t>
      </w:r>
      <w:r>
        <w:rPr>
          <w:spacing w:val="-3"/>
          <w:sz w:val="20"/>
        </w:rPr>
        <w:t> </w:t>
      </w:r>
      <w:r>
        <w:rPr>
          <w:sz w:val="20"/>
        </w:rPr>
        <w:t>travelled</w:t>
      </w:r>
      <w:r>
        <w:rPr>
          <w:spacing w:val="-3"/>
          <w:sz w:val="20"/>
        </w:rPr>
        <w:t> </w:t>
      </w:r>
      <w:r>
        <w:rPr>
          <w:sz w:val="20"/>
        </w:rPr>
        <w:t>to</w:t>
      </w:r>
      <w:r>
        <w:rPr>
          <w:spacing w:val="-2"/>
          <w:sz w:val="20"/>
        </w:rPr>
        <w:t> </w:t>
      </w:r>
      <w:r>
        <w:rPr>
          <w:sz w:val="20"/>
        </w:rPr>
        <w:t>India</w:t>
      </w:r>
      <w:r>
        <w:rPr>
          <w:spacing w:val="-3"/>
          <w:sz w:val="20"/>
        </w:rPr>
        <w:t> </w:t>
      </w:r>
      <w:r>
        <w:rPr>
          <w:sz w:val="20"/>
        </w:rPr>
        <w:t>to</w:t>
      </w:r>
      <w:r>
        <w:rPr>
          <w:spacing w:val="-4"/>
          <w:sz w:val="20"/>
        </w:rPr>
        <w:t> </w:t>
      </w:r>
      <w:r>
        <w:rPr>
          <w:sz w:val="20"/>
        </w:rPr>
        <w:t>get</w:t>
      </w:r>
      <w:r>
        <w:rPr>
          <w:spacing w:val="-2"/>
          <w:sz w:val="20"/>
        </w:rPr>
        <w:t> </w:t>
      </w:r>
      <w:r>
        <w:rPr>
          <w:sz w:val="20"/>
        </w:rPr>
        <w:t>the</w:t>
      </w:r>
      <w:r>
        <w:rPr>
          <w:spacing w:val="-4"/>
          <w:sz w:val="20"/>
        </w:rPr>
        <w:t> </w:t>
      </w:r>
      <w:r>
        <w:rPr>
          <w:sz w:val="20"/>
        </w:rPr>
        <w:t>support</w:t>
      </w:r>
      <w:r>
        <w:rPr>
          <w:spacing w:val="-3"/>
          <w:sz w:val="20"/>
        </w:rPr>
        <w:t> </w:t>
      </w:r>
      <w:r>
        <w:rPr>
          <w:sz w:val="20"/>
        </w:rPr>
        <w:t>of</w:t>
      </w:r>
      <w:r>
        <w:rPr>
          <w:spacing w:val="-2"/>
          <w:sz w:val="20"/>
        </w:rPr>
        <w:t> </w:t>
      </w:r>
      <w:r>
        <w:rPr>
          <w:sz w:val="20"/>
        </w:rPr>
        <w:t>GSFC</w:t>
      </w:r>
      <w:r>
        <w:rPr>
          <w:spacing w:val="-4"/>
          <w:sz w:val="20"/>
        </w:rPr>
        <w:t> </w:t>
      </w:r>
      <w:r>
        <w:rPr>
          <w:sz w:val="20"/>
        </w:rPr>
        <w:t>on</w:t>
      </w:r>
      <w:r>
        <w:rPr>
          <w:spacing w:val="-3"/>
          <w:sz w:val="20"/>
        </w:rPr>
        <w:t> </w:t>
      </w:r>
      <w:r>
        <w:rPr>
          <w:sz w:val="20"/>
        </w:rPr>
        <w:t>the</w:t>
      </w:r>
      <w:r>
        <w:rPr>
          <w:spacing w:val="-3"/>
          <w:sz w:val="20"/>
        </w:rPr>
        <w:t> </w:t>
      </w:r>
      <w:r>
        <w:rPr>
          <w:sz w:val="20"/>
        </w:rPr>
        <w:t>new</w:t>
      </w:r>
      <w:r>
        <w:rPr>
          <w:spacing w:val="-2"/>
          <w:sz w:val="20"/>
        </w:rPr>
        <w:t> </w:t>
      </w:r>
      <w:r>
        <w:rPr>
          <w:sz w:val="20"/>
        </w:rPr>
        <w:t>strategy,</w:t>
      </w:r>
      <w:r>
        <w:rPr>
          <w:spacing w:val="-3"/>
          <w:sz w:val="20"/>
        </w:rPr>
        <w:t> </w:t>
      </w:r>
      <w:r>
        <w:rPr>
          <w:sz w:val="20"/>
        </w:rPr>
        <w:t>released</w:t>
      </w:r>
      <w:r>
        <w:rPr>
          <w:spacing w:val="-2"/>
          <w:sz w:val="20"/>
        </w:rPr>
        <w:t> </w:t>
      </w:r>
      <w:r>
        <w:rPr>
          <w:sz w:val="20"/>
        </w:rPr>
        <w:t>the</w:t>
      </w:r>
      <w:r>
        <w:rPr>
          <w:spacing w:val="-4"/>
          <w:sz w:val="20"/>
        </w:rPr>
        <w:t> </w:t>
      </w:r>
      <w:r>
        <w:rPr>
          <w:sz w:val="20"/>
        </w:rPr>
        <w:t>strategy</w:t>
      </w:r>
      <w:r>
        <w:rPr>
          <w:spacing w:val="-2"/>
          <w:sz w:val="20"/>
        </w:rPr>
        <w:t> </w:t>
      </w:r>
      <w:r>
        <w:rPr>
          <w:sz w:val="20"/>
        </w:rPr>
        <w:t>to the Canadian capital markets, and received serious interest from a large, private agriculture firm (the “</w:t>
      </w:r>
      <w:r>
        <w:rPr>
          <w:b/>
          <w:sz w:val="20"/>
        </w:rPr>
        <w:t>AgCo</w:t>
      </w:r>
      <w:r>
        <w:rPr>
          <w:sz w:val="20"/>
        </w:rPr>
        <w:t>”) to participate in the Nitrogen</w:t>
      </w:r>
      <w:r>
        <w:rPr>
          <w:spacing w:val="-8"/>
          <w:sz w:val="20"/>
        </w:rPr>
        <w:t> </w:t>
      </w:r>
      <w:r>
        <w:rPr>
          <w:sz w:val="20"/>
        </w:rPr>
        <w:t>Project.</w:t>
      </w:r>
    </w:p>
    <w:p>
      <w:pPr>
        <w:pStyle w:val="BodyText"/>
        <w:spacing w:before="10"/>
      </w:pPr>
    </w:p>
    <w:p>
      <w:pPr>
        <w:pStyle w:val="ListParagraph"/>
        <w:numPr>
          <w:ilvl w:val="0"/>
          <w:numId w:val="1"/>
        </w:numPr>
        <w:tabs>
          <w:tab w:pos="841" w:val="left" w:leader="none"/>
        </w:tabs>
        <w:spacing w:line="360" w:lineRule="auto" w:before="0" w:after="0"/>
        <w:ind w:left="840" w:right="1197" w:hanging="721"/>
        <w:jc w:val="both"/>
        <w:rPr>
          <w:sz w:val="20"/>
        </w:rPr>
      </w:pPr>
      <w:r>
        <w:rPr>
          <w:sz w:val="20"/>
        </w:rPr>
        <w:t>Mr. Tiwari, the GSFC MD at the time, wrote a letter dated May 29, 2018 (the “</w:t>
      </w:r>
      <w:r>
        <w:rPr>
          <w:b/>
          <w:sz w:val="20"/>
        </w:rPr>
        <w:t>Tiwari Letter</w:t>
      </w:r>
      <w:r>
        <w:rPr>
          <w:sz w:val="20"/>
        </w:rPr>
        <w:t>”) to KRN in support of the Nitrogen Project. The Tiwari Letter was released to the Canadian capital markets. Attached and marked as </w:t>
      </w:r>
      <w:r>
        <w:rPr>
          <w:b/>
          <w:sz w:val="20"/>
        </w:rPr>
        <w:t>Exhibit “Y” </w:t>
      </w:r>
      <w:r>
        <w:rPr>
          <w:sz w:val="20"/>
        </w:rPr>
        <w:t>to the FDW Affidavit is a copy of the Tiwari</w:t>
      </w:r>
      <w:r>
        <w:rPr>
          <w:spacing w:val="-39"/>
          <w:sz w:val="20"/>
        </w:rPr>
        <w:t> </w:t>
      </w:r>
      <w:r>
        <w:rPr>
          <w:sz w:val="20"/>
        </w:rPr>
        <w:t>Letter.</w:t>
      </w:r>
    </w:p>
    <w:p>
      <w:pPr>
        <w:pStyle w:val="BodyText"/>
        <w:spacing w:before="9"/>
      </w:pPr>
    </w:p>
    <w:p>
      <w:pPr>
        <w:pStyle w:val="ListParagraph"/>
        <w:numPr>
          <w:ilvl w:val="0"/>
          <w:numId w:val="1"/>
        </w:numPr>
        <w:tabs>
          <w:tab w:pos="841" w:val="left" w:leader="none"/>
        </w:tabs>
        <w:spacing w:line="360" w:lineRule="auto" w:before="1" w:after="0"/>
        <w:ind w:left="840" w:right="1197" w:hanging="721"/>
        <w:jc w:val="both"/>
        <w:rPr>
          <w:sz w:val="20"/>
        </w:rPr>
      </w:pPr>
      <w:r>
        <w:rPr>
          <w:sz w:val="20"/>
        </w:rPr>
        <w:t>As part of the new corporate strategy, Wheatley proposed undertaking the Rights Offering to provide funds to advance the development of the Nitrogen Project, without the need to access the existing cash resources of</w:t>
      </w:r>
      <w:r>
        <w:rPr>
          <w:spacing w:val="-6"/>
          <w:sz w:val="20"/>
        </w:rPr>
        <w:t> </w:t>
      </w:r>
      <w:r>
        <w:rPr>
          <w:sz w:val="20"/>
        </w:rPr>
        <w:t>KRN.</w:t>
      </w:r>
    </w:p>
    <w:p>
      <w:pPr>
        <w:spacing w:after="0" w:line="360" w:lineRule="auto"/>
        <w:jc w:val="both"/>
        <w:rPr>
          <w:sz w:val="20"/>
        </w:rPr>
        <w:sectPr>
          <w:pgSz w:w="12240" w:h="15840"/>
          <w:pgMar w:header="0" w:footer="971" w:top="1220" w:bottom="1160" w:left="1320" w:right="240"/>
        </w:sectPr>
      </w:pPr>
    </w:p>
    <w:p>
      <w:pPr>
        <w:pStyle w:val="Heading1"/>
        <w:numPr>
          <w:ilvl w:val="0"/>
          <w:numId w:val="4"/>
        </w:numPr>
        <w:tabs>
          <w:tab w:pos="839" w:val="left" w:leader="none"/>
          <w:tab w:pos="841" w:val="left" w:leader="none"/>
        </w:tabs>
        <w:spacing w:line="240" w:lineRule="auto" w:before="75" w:after="0"/>
        <w:ind w:left="840" w:right="0" w:hanging="721"/>
        <w:jc w:val="left"/>
        <w:rPr>
          <w:u w:val="none"/>
        </w:rPr>
      </w:pPr>
      <w:r>
        <w:rPr/>
        <w:drawing>
          <wp:anchor distT="0" distB="0" distL="0" distR="0" allowOverlap="1" layoutInCell="1" locked="0" behindDoc="0" simplePos="0" relativeHeight="251662336">
            <wp:simplePos x="0" y="0"/>
            <wp:positionH relativeFrom="page">
              <wp:posOffset>7002589</wp:posOffset>
            </wp:positionH>
            <wp:positionV relativeFrom="page">
              <wp:posOffset>9266800</wp:posOffset>
            </wp:positionV>
            <wp:extent cx="657485" cy="555707"/>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1" cstate="print"/>
                    <a:stretch>
                      <a:fillRect/>
                    </a:stretch>
                  </pic:blipFill>
                  <pic:spPr>
                    <a:xfrm>
                      <a:off x="0" y="0"/>
                      <a:ext cx="657485" cy="555707"/>
                    </a:xfrm>
                    <a:prstGeom prst="rect">
                      <a:avLst/>
                    </a:prstGeom>
                  </pic:spPr>
                </pic:pic>
              </a:graphicData>
            </a:graphic>
          </wp:anchor>
        </w:drawing>
      </w:r>
      <w:r>
        <w:rPr>
          <w:u w:val="thick"/>
        </w:rPr>
        <w:t>Public Offering of Securities by way of Rights</w:t>
      </w:r>
      <w:r>
        <w:rPr>
          <w:spacing w:val="-7"/>
          <w:u w:val="thick"/>
        </w:rPr>
        <w:t> </w:t>
      </w:r>
      <w:r>
        <w:rPr>
          <w:u w:val="thick"/>
        </w:rPr>
        <w:t>Offering</w:t>
      </w:r>
    </w:p>
    <w:p>
      <w:pPr>
        <w:pStyle w:val="BodyText"/>
        <w:spacing w:before="8"/>
        <w:rPr>
          <w:b/>
          <w:sz w:val="22"/>
        </w:rPr>
      </w:pPr>
    </w:p>
    <w:p>
      <w:pPr>
        <w:pStyle w:val="ListParagraph"/>
        <w:numPr>
          <w:ilvl w:val="0"/>
          <w:numId w:val="1"/>
        </w:numPr>
        <w:tabs>
          <w:tab w:pos="841" w:val="left" w:leader="none"/>
        </w:tabs>
        <w:spacing w:line="360" w:lineRule="auto" w:before="94" w:after="0"/>
        <w:ind w:left="839" w:right="1197" w:hanging="720"/>
        <w:jc w:val="both"/>
        <w:rPr>
          <w:sz w:val="20"/>
        </w:rPr>
      </w:pPr>
      <w:r>
        <w:rPr>
          <w:sz w:val="20"/>
        </w:rPr>
        <w:t>In September 2018, KRN had approximately $9 million in cash. That cash was to be used to pay the annual costs of the Potash Project and general and administrative expenses. Attached and marked</w:t>
      </w:r>
      <w:r>
        <w:rPr>
          <w:spacing w:val="-6"/>
          <w:sz w:val="20"/>
        </w:rPr>
        <w:t> </w:t>
      </w:r>
      <w:r>
        <w:rPr>
          <w:sz w:val="20"/>
        </w:rPr>
        <w:t>as</w:t>
      </w:r>
      <w:r>
        <w:rPr>
          <w:spacing w:val="-4"/>
          <w:sz w:val="20"/>
        </w:rPr>
        <w:t> </w:t>
      </w:r>
      <w:r>
        <w:rPr>
          <w:b/>
          <w:sz w:val="20"/>
        </w:rPr>
        <w:t>Exhibit</w:t>
      </w:r>
      <w:r>
        <w:rPr>
          <w:b/>
          <w:spacing w:val="-4"/>
          <w:sz w:val="20"/>
        </w:rPr>
        <w:t> </w:t>
      </w:r>
      <w:r>
        <w:rPr>
          <w:b/>
          <w:sz w:val="20"/>
        </w:rPr>
        <w:t>“Z”</w:t>
      </w:r>
      <w:r>
        <w:rPr>
          <w:b/>
          <w:spacing w:val="-5"/>
          <w:sz w:val="20"/>
        </w:rPr>
        <w:t> </w:t>
      </w:r>
      <w:r>
        <w:rPr>
          <w:sz w:val="20"/>
        </w:rPr>
        <w:t>to</w:t>
      </w:r>
      <w:r>
        <w:rPr>
          <w:spacing w:val="-5"/>
          <w:sz w:val="20"/>
        </w:rPr>
        <w:t> </w:t>
      </w:r>
      <w:r>
        <w:rPr>
          <w:sz w:val="20"/>
        </w:rPr>
        <w:t>the</w:t>
      </w:r>
      <w:r>
        <w:rPr>
          <w:spacing w:val="-5"/>
          <w:sz w:val="20"/>
        </w:rPr>
        <w:t> </w:t>
      </w:r>
      <w:r>
        <w:rPr>
          <w:sz w:val="20"/>
        </w:rPr>
        <w:t>FDW</w:t>
      </w:r>
      <w:r>
        <w:rPr>
          <w:spacing w:val="-4"/>
          <w:sz w:val="20"/>
        </w:rPr>
        <w:t> </w:t>
      </w:r>
      <w:r>
        <w:rPr>
          <w:sz w:val="20"/>
        </w:rPr>
        <w:t>Affidavit</w:t>
      </w:r>
      <w:r>
        <w:rPr>
          <w:spacing w:val="-5"/>
          <w:sz w:val="20"/>
        </w:rPr>
        <w:t> </w:t>
      </w:r>
      <w:r>
        <w:rPr>
          <w:sz w:val="20"/>
        </w:rPr>
        <w:t>is</w:t>
      </w:r>
      <w:r>
        <w:rPr>
          <w:spacing w:val="-5"/>
          <w:sz w:val="20"/>
        </w:rPr>
        <w:t> </w:t>
      </w:r>
      <w:r>
        <w:rPr>
          <w:sz w:val="20"/>
        </w:rPr>
        <w:t>a</w:t>
      </w:r>
      <w:r>
        <w:rPr>
          <w:spacing w:val="-5"/>
          <w:sz w:val="20"/>
        </w:rPr>
        <w:t> </w:t>
      </w:r>
      <w:r>
        <w:rPr>
          <w:sz w:val="20"/>
        </w:rPr>
        <w:t>copy</w:t>
      </w:r>
      <w:r>
        <w:rPr>
          <w:spacing w:val="-4"/>
          <w:sz w:val="20"/>
        </w:rPr>
        <w:t> </w:t>
      </w:r>
      <w:r>
        <w:rPr>
          <w:sz w:val="20"/>
        </w:rPr>
        <w:t>of</w:t>
      </w:r>
      <w:r>
        <w:rPr>
          <w:spacing w:val="-5"/>
          <w:sz w:val="20"/>
        </w:rPr>
        <w:t> </w:t>
      </w:r>
      <w:r>
        <w:rPr>
          <w:sz w:val="20"/>
        </w:rPr>
        <w:t>page</w:t>
      </w:r>
      <w:r>
        <w:rPr>
          <w:spacing w:val="-5"/>
          <w:sz w:val="20"/>
        </w:rPr>
        <w:t> </w:t>
      </w:r>
      <w:r>
        <w:rPr>
          <w:sz w:val="20"/>
        </w:rPr>
        <w:t>1</w:t>
      </w:r>
      <w:r>
        <w:rPr>
          <w:spacing w:val="-5"/>
          <w:sz w:val="20"/>
        </w:rPr>
        <w:t> </w:t>
      </w:r>
      <w:r>
        <w:rPr>
          <w:sz w:val="20"/>
        </w:rPr>
        <w:t>of</w:t>
      </w:r>
      <w:r>
        <w:rPr>
          <w:spacing w:val="-5"/>
          <w:sz w:val="20"/>
        </w:rPr>
        <w:t> </w:t>
      </w:r>
      <w:r>
        <w:rPr>
          <w:sz w:val="20"/>
        </w:rPr>
        <w:t>the</w:t>
      </w:r>
      <w:r>
        <w:rPr>
          <w:spacing w:val="-5"/>
          <w:sz w:val="20"/>
        </w:rPr>
        <w:t> </w:t>
      </w:r>
      <w:r>
        <w:rPr>
          <w:sz w:val="20"/>
        </w:rPr>
        <w:t>Karnalyte</w:t>
      </w:r>
      <w:r>
        <w:rPr>
          <w:spacing w:val="-4"/>
          <w:sz w:val="20"/>
        </w:rPr>
        <w:t> </w:t>
      </w:r>
      <w:r>
        <w:rPr>
          <w:sz w:val="20"/>
        </w:rPr>
        <w:t>2018</w:t>
      </w:r>
      <w:r>
        <w:rPr>
          <w:spacing w:val="-5"/>
          <w:sz w:val="20"/>
        </w:rPr>
        <w:t> </w:t>
      </w:r>
      <w:r>
        <w:rPr>
          <w:sz w:val="20"/>
        </w:rPr>
        <w:t>third</w:t>
      </w:r>
      <w:r>
        <w:rPr>
          <w:spacing w:val="-5"/>
          <w:sz w:val="20"/>
        </w:rPr>
        <w:t> </w:t>
      </w:r>
      <w:r>
        <w:rPr>
          <w:sz w:val="20"/>
        </w:rPr>
        <w:t>quarter financial</w:t>
      </w:r>
      <w:r>
        <w:rPr>
          <w:spacing w:val="-2"/>
          <w:sz w:val="20"/>
        </w:rPr>
        <w:t> </w:t>
      </w:r>
      <w:r>
        <w:rPr>
          <w:sz w:val="20"/>
        </w:rPr>
        <w:t>statements.</w:t>
      </w:r>
    </w:p>
    <w:p>
      <w:pPr>
        <w:pStyle w:val="BodyText"/>
        <w:spacing w:before="10"/>
      </w:pPr>
    </w:p>
    <w:p>
      <w:pPr>
        <w:pStyle w:val="ListParagraph"/>
        <w:numPr>
          <w:ilvl w:val="0"/>
          <w:numId w:val="1"/>
        </w:numPr>
        <w:tabs>
          <w:tab w:pos="840" w:val="left" w:leader="none"/>
        </w:tabs>
        <w:spacing w:line="360" w:lineRule="auto" w:before="0" w:after="0"/>
        <w:ind w:left="839" w:right="1198" w:hanging="720"/>
        <w:jc w:val="both"/>
        <w:rPr>
          <w:sz w:val="20"/>
        </w:rPr>
      </w:pPr>
      <w:r>
        <w:rPr>
          <w:sz w:val="20"/>
        </w:rPr>
        <w:t>Based</w:t>
      </w:r>
      <w:r>
        <w:rPr>
          <w:spacing w:val="-13"/>
          <w:sz w:val="20"/>
        </w:rPr>
        <w:t> </w:t>
      </w:r>
      <w:r>
        <w:rPr>
          <w:sz w:val="20"/>
        </w:rPr>
        <w:t>upon</w:t>
      </w:r>
      <w:r>
        <w:rPr>
          <w:spacing w:val="-13"/>
          <w:sz w:val="20"/>
        </w:rPr>
        <w:t> </w:t>
      </w:r>
      <w:r>
        <w:rPr>
          <w:sz w:val="20"/>
        </w:rPr>
        <w:t>the</w:t>
      </w:r>
      <w:r>
        <w:rPr>
          <w:spacing w:val="-12"/>
          <w:sz w:val="20"/>
        </w:rPr>
        <w:t> </w:t>
      </w:r>
      <w:r>
        <w:rPr>
          <w:sz w:val="20"/>
        </w:rPr>
        <w:t>recommendation</w:t>
      </w:r>
      <w:r>
        <w:rPr>
          <w:spacing w:val="-12"/>
          <w:sz w:val="20"/>
        </w:rPr>
        <w:t> </w:t>
      </w:r>
      <w:r>
        <w:rPr>
          <w:sz w:val="20"/>
        </w:rPr>
        <w:t>of</w:t>
      </w:r>
      <w:r>
        <w:rPr>
          <w:spacing w:val="-14"/>
          <w:sz w:val="20"/>
        </w:rPr>
        <w:t> </w:t>
      </w:r>
      <w:r>
        <w:rPr>
          <w:sz w:val="20"/>
        </w:rPr>
        <w:t>Wheatley,</w:t>
      </w:r>
      <w:r>
        <w:rPr>
          <w:spacing w:val="-13"/>
          <w:sz w:val="20"/>
        </w:rPr>
        <w:t> </w:t>
      </w:r>
      <w:r>
        <w:rPr>
          <w:sz w:val="20"/>
        </w:rPr>
        <w:t>the</w:t>
      </w:r>
      <w:r>
        <w:rPr>
          <w:spacing w:val="-12"/>
          <w:sz w:val="20"/>
        </w:rPr>
        <w:t> </w:t>
      </w:r>
      <w:r>
        <w:rPr>
          <w:sz w:val="20"/>
        </w:rPr>
        <w:t>KRN</w:t>
      </w:r>
      <w:r>
        <w:rPr>
          <w:spacing w:val="-12"/>
          <w:sz w:val="20"/>
        </w:rPr>
        <w:t> </w:t>
      </w:r>
      <w:r>
        <w:rPr>
          <w:sz w:val="20"/>
        </w:rPr>
        <w:t>Board</w:t>
      </w:r>
      <w:r>
        <w:rPr>
          <w:spacing w:val="-13"/>
          <w:sz w:val="20"/>
        </w:rPr>
        <w:t> </w:t>
      </w:r>
      <w:r>
        <w:rPr>
          <w:sz w:val="20"/>
        </w:rPr>
        <w:t>agreed</w:t>
      </w:r>
      <w:r>
        <w:rPr>
          <w:spacing w:val="-12"/>
          <w:sz w:val="20"/>
        </w:rPr>
        <w:t> </w:t>
      </w:r>
      <w:r>
        <w:rPr>
          <w:sz w:val="20"/>
        </w:rPr>
        <w:t>that</w:t>
      </w:r>
      <w:r>
        <w:rPr>
          <w:spacing w:val="-13"/>
          <w:sz w:val="20"/>
        </w:rPr>
        <w:t> </w:t>
      </w:r>
      <w:r>
        <w:rPr>
          <w:sz w:val="20"/>
        </w:rPr>
        <w:t>it</w:t>
      </w:r>
      <w:r>
        <w:rPr>
          <w:spacing w:val="-12"/>
          <w:sz w:val="20"/>
        </w:rPr>
        <w:t> </w:t>
      </w:r>
      <w:r>
        <w:rPr>
          <w:sz w:val="20"/>
        </w:rPr>
        <w:t>should</w:t>
      </w:r>
      <w:r>
        <w:rPr>
          <w:spacing w:val="-13"/>
          <w:sz w:val="20"/>
        </w:rPr>
        <w:t> </w:t>
      </w:r>
      <w:r>
        <w:rPr>
          <w:sz w:val="20"/>
        </w:rPr>
        <w:t>raise</w:t>
      </w:r>
      <w:r>
        <w:rPr>
          <w:spacing w:val="-12"/>
          <w:sz w:val="20"/>
        </w:rPr>
        <w:t> </w:t>
      </w:r>
      <w:r>
        <w:rPr>
          <w:sz w:val="20"/>
        </w:rPr>
        <w:t>additional monies by way of the Rights Offering, specifically dedicated to advancing the development of the Nitrogen</w:t>
      </w:r>
      <w:r>
        <w:rPr>
          <w:spacing w:val="-2"/>
          <w:sz w:val="20"/>
        </w:rPr>
        <w:t> </w:t>
      </w:r>
      <w:r>
        <w:rPr>
          <w:sz w:val="20"/>
        </w:rPr>
        <w:t>Project.</w:t>
      </w:r>
    </w:p>
    <w:p>
      <w:pPr>
        <w:pStyle w:val="BodyText"/>
        <w:spacing w:before="11"/>
      </w:pPr>
    </w:p>
    <w:p>
      <w:pPr>
        <w:pStyle w:val="ListParagraph"/>
        <w:numPr>
          <w:ilvl w:val="0"/>
          <w:numId w:val="1"/>
        </w:numPr>
        <w:tabs>
          <w:tab w:pos="840" w:val="left" w:leader="none"/>
        </w:tabs>
        <w:spacing w:line="360" w:lineRule="auto" w:before="0" w:after="0"/>
        <w:ind w:left="839" w:right="1197" w:hanging="721"/>
        <w:jc w:val="both"/>
        <w:rPr>
          <w:sz w:val="20"/>
        </w:rPr>
      </w:pPr>
      <w:r>
        <w:rPr>
          <w:sz w:val="20"/>
        </w:rPr>
        <w:t>I</w:t>
      </w:r>
      <w:r>
        <w:rPr>
          <w:spacing w:val="-7"/>
          <w:sz w:val="20"/>
        </w:rPr>
        <w:t> </w:t>
      </w:r>
      <w:r>
        <w:rPr>
          <w:sz w:val="20"/>
        </w:rPr>
        <w:t>approved</w:t>
      </w:r>
      <w:r>
        <w:rPr>
          <w:spacing w:val="-6"/>
          <w:sz w:val="20"/>
        </w:rPr>
        <w:t> </w:t>
      </w:r>
      <w:r>
        <w:rPr>
          <w:sz w:val="20"/>
        </w:rPr>
        <w:t>the</w:t>
      </w:r>
      <w:r>
        <w:rPr>
          <w:spacing w:val="-6"/>
          <w:sz w:val="20"/>
        </w:rPr>
        <w:t> </w:t>
      </w:r>
      <w:r>
        <w:rPr>
          <w:sz w:val="20"/>
        </w:rPr>
        <w:t>Rights</w:t>
      </w:r>
      <w:r>
        <w:rPr>
          <w:spacing w:val="-6"/>
          <w:sz w:val="20"/>
        </w:rPr>
        <w:t> </w:t>
      </w:r>
      <w:r>
        <w:rPr>
          <w:sz w:val="20"/>
        </w:rPr>
        <w:t>Offering</w:t>
      </w:r>
      <w:r>
        <w:rPr>
          <w:spacing w:val="-6"/>
          <w:sz w:val="20"/>
        </w:rPr>
        <w:t> </w:t>
      </w:r>
      <w:r>
        <w:rPr>
          <w:sz w:val="20"/>
        </w:rPr>
        <w:t>as</w:t>
      </w:r>
      <w:r>
        <w:rPr>
          <w:spacing w:val="-5"/>
          <w:sz w:val="20"/>
        </w:rPr>
        <w:t> </w:t>
      </w:r>
      <w:r>
        <w:rPr>
          <w:sz w:val="20"/>
        </w:rPr>
        <w:t>a</w:t>
      </w:r>
      <w:r>
        <w:rPr>
          <w:spacing w:val="-6"/>
          <w:sz w:val="20"/>
        </w:rPr>
        <w:t> </w:t>
      </w:r>
      <w:r>
        <w:rPr>
          <w:sz w:val="20"/>
        </w:rPr>
        <w:t>member</w:t>
      </w:r>
      <w:r>
        <w:rPr>
          <w:spacing w:val="-6"/>
          <w:sz w:val="20"/>
        </w:rPr>
        <w:t> </w:t>
      </w:r>
      <w:r>
        <w:rPr>
          <w:sz w:val="20"/>
        </w:rPr>
        <w:t>of</w:t>
      </w:r>
      <w:r>
        <w:rPr>
          <w:spacing w:val="-7"/>
          <w:sz w:val="20"/>
        </w:rPr>
        <w:t> </w:t>
      </w:r>
      <w:r>
        <w:rPr>
          <w:sz w:val="20"/>
        </w:rPr>
        <w:t>the</w:t>
      </w:r>
      <w:r>
        <w:rPr>
          <w:spacing w:val="-6"/>
          <w:sz w:val="20"/>
        </w:rPr>
        <w:t> </w:t>
      </w:r>
      <w:r>
        <w:rPr>
          <w:sz w:val="20"/>
        </w:rPr>
        <w:t>KRN</w:t>
      </w:r>
      <w:r>
        <w:rPr>
          <w:spacing w:val="-5"/>
          <w:sz w:val="20"/>
        </w:rPr>
        <w:t> </w:t>
      </w:r>
      <w:r>
        <w:rPr>
          <w:sz w:val="20"/>
        </w:rPr>
        <w:t>Board.</w:t>
      </w:r>
      <w:r>
        <w:rPr>
          <w:spacing w:val="41"/>
          <w:sz w:val="20"/>
        </w:rPr>
        <w:t> </w:t>
      </w:r>
      <w:r>
        <w:rPr>
          <w:sz w:val="20"/>
        </w:rPr>
        <w:t>The</w:t>
      </w:r>
      <w:r>
        <w:rPr>
          <w:spacing w:val="-5"/>
          <w:sz w:val="20"/>
        </w:rPr>
        <w:t> </w:t>
      </w:r>
      <w:r>
        <w:rPr>
          <w:sz w:val="20"/>
        </w:rPr>
        <w:t>Rights</w:t>
      </w:r>
      <w:r>
        <w:rPr>
          <w:spacing w:val="-6"/>
          <w:sz w:val="20"/>
        </w:rPr>
        <w:t> </w:t>
      </w:r>
      <w:r>
        <w:rPr>
          <w:sz w:val="20"/>
        </w:rPr>
        <w:t>Offering</w:t>
      </w:r>
      <w:r>
        <w:rPr>
          <w:spacing w:val="-6"/>
          <w:sz w:val="20"/>
        </w:rPr>
        <w:t> </w:t>
      </w:r>
      <w:r>
        <w:rPr>
          <w:sz w:val="20"/>
        </w:rPr>
        <w:t>was</w:t>
      </w:r>
      <w:r>
        <w:rPr>
          <w:spacing w:val="-6"/>
          <w:sz w:val="20"/>
        </w:rPr>
        <w:t> </w:t>
      </w:r>
      <w:r>
        <w:rPr>
          <w:sz w:val="20"/>
        </w:rPr>
        <w:t>approved unanimously by the KRN Board, which included Varma and</w:t>
      </w:r>
      <w:r>
        <w:rPr>
          <w:spacing w:val="-10"/>
          <w:sz w:val="20"/>
        </w:rPr>
        <w:t> </w:t>
      </w:r>
      <w:r>
        <w:rPr>
          <w:sz w:val="20"/>
        </w:rPr>
        <w:t>Nanavaty.</w:t>
      </w:r>
    </w:p>
    <w:p>
      <w:pPr>
        <w:pStyle w:val="BodyText"/>
        <w:spacing w:before="10"/>
      </w:pPr>
    </w:p>
    <w:p>
      <w:pPr>
        <w:pStyle w:val="ListParagraph"/>
        <w:numPr>
          <w:ilvl w:val="0"/>
          <w:numId w:val="1"/>
        </w:numPr>
        <w:tabs>
          <w:tab w:pos="840" w:val="left" w:leader="none"/>
        </w:tabs>
        <w:spacing w:line="360" w:lineRule="auto" w:before="0" w:after="0"/>
        <w:ind w:left="838" w:right="1197" w:hanging="720"/>
        <w:jc w:val="both"/>
        <w:rPr>
          <w:sz w:val="20"/>
        </w:rPr>
      </w:pPr>
      <w:r>
        <w:rPr>
          <w:sz w:val="20"/>
        </w:rPr>
        <w:t>I know the purpose and the intent of the Rights Offering. I also participated in the Rights Offering as an investor in order to maintain my pro-rata ownership interest in KRN. Attached and marked as</w:t>
      </w:r>
      <w:r>
        <w:rPr>
          <w:spacing w:val="-6"/>
          <w:sz w:val="20"/>
        </w:rPr>
        <w:t> </w:t>
      </w:r>
      <w:r>
        <w:rPr>
          <w:b/>
          <w:sz w:val="20"/>
        </w:rPr>
        <w:t>Exhibit</w:t>
      </w:r>
      <w:r>
        <w:rPr>
          <w:b/>
          <w:spacing w:val="-6"/>
          <w:sz w:val="20"/>
        </w:rPr>
        <w:t> </w:t>
      </w:r>
      <w:r>
        <w:rPr>
          <w:b/>
          <w:sz w:val="20"/>
        </w:rPr>
        <w:t>“AA</w:t>
      </w:r>
      <w:r>
        <w:rPr>
          <w:sz w:val="20"/>
        </w:rPr>
        <w:t>”</w:t>
      </w:r>
      <w:r>
        <w:rPr>
          <w:spacing w:val="-6"/>
          <w:sz w:val="20"/>
        </w:rPr>
        <w:t> </w:t>
      </w:r>
      <w:r>
        <w:rPr>
          <w:sz w:val="20"/>
        </w:rPr>
        <w:t>to</w:t>
      </w:r>
      <w:r>
        <w:rPr>
          <w:spacing w:val="-5"/>
          <w:sz w:val="20"/>
        </w:rPr>
        <w:t> </w:t>
      </w:r>
      <w:r>
        <w:rPr>
          <w:sz w:val="20"/>
        </w:rPr>
        <w:t>the</w:t>
      </w:r>
      <w:r>
        <w:rPr>
          <w:spacing w:val="-6"/>
          <w:sz w:val="20"/>
        </w:rPr>
        <w:t> </w:t>
      </w:r>
      <w:r>
        <w:rPr>
          <w:sz w:val="20"/>
        </w:rPr>
        <w:t>FDW</w:t>
      </w:r>
      <w:r>
        <w:rPr>
          <w:spacing w:val="-5"/>
          <w:sz w:val="20"/>
        </w:rPr>
        <w:t> </w:t>
      </w:r>
      <w:r>
        <w:rPr>
          <w:sz w:val="20"/>
        </w:rPr>
        <w:t>Affidavit</w:t>
      </w:r>
      <w:r>
        <w:rPr>
          <w:spacing w:val="-7"/>
          <w:sz w:val="20"/>
        </w:rPr>
        <w:t> </w:t>
      </w:r>
      <w:r>
        <w:rPr>
          <w:sz w:val="20"/>
        </w:rPr>
        <w:t>is</w:t>
      </w:r>
      <w:r>
        <w:rPr>
          <w:spacing w:val="-6"/>
          <w:sz w:val="20"/>
        </w:rPr>
        <w:t> </w:t>
      </w:r>
      <w:r>
        <w:rPr>
          <w:sz w:val="20"/>
        </w:rPr>
        <w:t>a</w:t>
      </w:r>
      <w:r>
        <w:rPr>
          <w:spacing w:val="-6"/>
          <w:sz w:val="20"/>
        </w:rPr>
        <w:t> </w:t>
      </w:r>
      <w:r>
        <w:rPr>
          <w:sz w:val="20"/>
        </w:rPr>
        <w:t>copy</w:t>
      </w:r>
      <w:r>
        <w:rPr>
          <w:spacing w:val="-5"/>
          <w:sz w:val="20"/>
        </w:rPr>
        <w:t> </w:t>
      </w:r>
      <w:r>
        <w:rPr>
          <w:sz w:val="20"/>
        </w:rPr>
        <w:t>of</w:t>
      </w:r>
      <w:r>
        <w:rPr>
          <w:spacing w:val="-7"/>
          <w:sz w:val="20"/>
        </w:rPr>
        <w:t> </w:t>
      </w:r>
      <w:r>
        <w:rPr>
          <w:sz w:val="20"/>
        </w:rPr>
        <w:t>the</w:t>
      </w:r>
      <w:r>
        <w:rPr>
          <w:spacing w:val="-7"/>
          <w:sz w:val="20"/>
        </w:rPr>
        <w:t> </w:t>
      </w:r>
      <w:r>
        <w:rPr>
          <w:sz w:val="20"/>
        </w:rPr>
        <w:t>Karnalyte</w:t>
      </w:r>
      <w:r>
        <w:rPr>
          <w:spacing w:val="-6"/>
          <w:sz w:val="20"/>
        </w:rPr>
        <w:t> </w:t>
      </w:r>
      <w:r>
        <w:rPr>
          <w:sz w:val="20"/>
        </w:rPr>
        <w:t>press</w:t>
      </w:r>
      <w:r>
        <w:rPr>
          <w:spacing w:val="-6"/>
          <w:sz w:val="20"/>
        </w:rPr>
        <w:t> </w:t>
      </w:r>
      <w:r>
        <w:rPr>
          <w:sz w:val="20"/>
        </w:rPr>
        <w:t>release</w:t>
      </w:r>
      <w:r>
        <w:rPr>
          <w:spacing w:val="-6"/>
          <w:sz w:val="20"/>
        </w:rPr>
        <w:t> </w:t>
      </w:r>
      <w:r>
        <w:rPr>
          <w:sz w:val="20"/>
        </w:rPr>
        <w:t>dated</w:t>
      </w:r>
      <w:r>
        <w:rPr>
          <w:spacing w:val="-5"/>
          <w:sz w:val="20"/>
        </w:rPr>
        <w:t> </w:t>
      </w:r>
      <w:r>
        <w:rPr>
          <w:sz w:val="20"/>
        </w:rPr>
        <w:t>November</w:t>
      </w:r>
      <w:r>
        <w:rPr>
          <w:spacing w:val="-6"/>
          <w:sz w:val="20"/>
        </w:rPr>
        <w:t> </w:t>
      </w:r>
      <w:r>
        <w:rPr>
          <w:sz w:val="20"/>
        </w:rPr>
        <w:t>14, 2018.</w:t>
      </w:r>
    </w:p>
    <w:p>
      <w:pPr>
        <w:pStyle w:val="BodyText"/>
        <w:spacing w:before="10"/>
      </w:pPr>
    </w:p>
    <w:p>
      <w:pPr>
        <w:pStyle w:val="ListParagraph"/>
        <w:numPr>
          <w:ilvl w:val="0"/>
          <w:numId w:val="1"/>
        </w:numPr>
        <w:tabs>
          <w:tab w:pos="839" w:val="left" w:leader="none"/>
        </w:tabs>
        <w:spacing w:line="360" w:lineRule="auto" w:before="0" w:after="0"/>
        <w:ind w:left="838" w:right="1197" w:hanging="720"/>
        <w:jc w:val="both"/>
        <w:rPr>
          <w:sz w:val="20"/>
        </w:rPr>
      </w:pPr>
      <w:r>
        <w:rPr>
          <w:sz w:val="20"/>
        </w:rPr>
        <w:t>The Rights Offering raised approximately $2.3 million. The intent and purpose of the Rights Offering was to provide funding for the Nitrogen Project, not to provide additional funds for the Potash Project or general and administrative expenses. KRN did not need the proceeds from the Rights Offering to fund it its annual</w:t>
      </w:r>
      <w:r>
        <w:rPr>
          <w:spacing w:val="-8"/>
          <w:sz w:val="20"/>
        </w:rPr>
        <w:t> </w:t>
      </w:r>
      <w:r>
        <w:rPr>
          <w:sz w:val="20"/>
        </w:rPr>
        <w:t>costs.</w:t>
      </w:r>
    </w:p>
    <w:p>
      <w:pPr>
        <w:pStyle w:val="BodyText"/>
        <w:spacing w:before="10"/>
      </w:pPr>
    </w:p>
    <w:p>
      <w:pPr>
        <w:pStyle w:val="Heading1"/>
        <w:numPr>
          <w:ilvl w:val="0"/>
          <w:numId w:val="4"/>
        </w:numPr>
        <w:tabs>
          <w:tab w:pos="839" w:val="left" w:leader="none"/>
          <w:tab w:pos="841" w:val="left" w:leader="none"/>
        </w:tabs>
        <w:spacing w:line="240" w:lineRule="auto" w:before="0" w:after="0"/>
        <w:ind w:left="840" w:right="0" w:hanging="721"/>
        <w:jc w:val="left"/>
        <w:rPr>
          <w:u w:val="none"/>
        </w:rPr>
      </w:pPr>
      <w:r>
        <w:rPr>
          <w:u w:val="thick"/>
        </w:rPr>
        <w:t>Shareholder Letter to KRN</w:t>
      </w:r>
      <w:r>
        <w:rPr>
          <w:spacing w:val="-5"/>
          <w:u w:val="thick"/>
        </w:rPr>
        <w:t> </w:t>
      </w:r>
      <w:r>
        <w:rPr>
          <w:u w:val="thick"/>
        </w:rPr>
        <w:t>Board</w:t>
      </w:r>
    </w:p>
    <w:p>
      <w:pPr>
        <w:pStyle w:val="BodyText"/>
        <w:spacing w:before="7"/>
        <w:rPr>
          <w:b/>
          <w:sz w:val="22"/>
        </w:rPr>
      </w:pPr>
    </w:p>
    <w:p>
      <w:pPr>
        <w:pStyle w:val="ListParagraph"/>
        <w:numPr>
          <w:ilvl w:val="0"/>
          <w:numId w:val="1"/>
        </w:numPr>
        <w:tabs>
          <w:tab w:pos="841" w:val="left" w:leader="none"/>
        </w:tabs>
        <w:spacing w:line="360" w:lineRule="auto" w:before="94" w:after="0"/>
        <w:ind w:left="839" w:right="1196" w:hanging="720"/>
        <w:jc w:val="both"/>
        <w:rPr>
          <w:sz w:val="20"/>
        </w:rPr>
      </w:pPr>
      <w:r>
        <w:rPr>
          <w:sz w:val="20"/>
        </w:rPr>
        <w:t>On September 7, 2019, I, together with Greg Szabo and Mark Zachanowich (collectively the “</w:t>
      </w:r>
      <w:r>
        <w:rPr>
          <w:b/>
          <w:sz w:val="20"/>
        </w:rPr>
        <w:t>Concerned Shareholders</w:t>
      </w:r>
      <w:r>
        <w:rPr>
          <w:sz w:val="20"/>
        </w:rPr>
        <w:t>”) wrote a letter (the “</w:t>
      </w:r>
      <w:r>
        <w:rPr>
          <w:b/>
          <w:sz w:val="20"/>
        </w:rPr>
        <w:t>September Letter</w:t>
      </w:r>
      <w:r>
        <w:rPr>
          <w:sz w:val="20"/>
        </w:rPr>
        <w:t>”) to the KRN Board complaining about a number of matters, including corporate governance, and lack of progress on the development of the Nitrogen Project. A copy of the letter was provided to the TSX. Attached and marked as </w:t>
      </w:r>
      <w:r>
        <w:rPr>
          <w:b/>
          <w:sz w:val="20"/>
        </w:rPr>
        <w:t>Exhibit “CC” </w:t>
      </w:r>
      <w:r>
        <w:rPr>
          <w:sz w:val="20"/>
        </w:rPr>
        <w:t>to the FDW Affidavit is a copy of the September</w:t>
      </w:r>
      <w:r>
        <w:rPr>
          <w:spacing w:val="-20"/>
          <w:sz w:val="20"/>
        </w:rPr>
        <w:t> </w:t>
      </w:r>
      <w:r>
        <w:rPr>
          <w:sz w:val="20"/>
        </w:rPr>
        <w:t>Letter.</w:t>
      </w:r>
    </w:p>
    <w:p>
      <w:pPr>
        <w:pStyle w:val="BodyText"/>
        <w:spacing w:before="10"/>
      </w:pPr>
    </w:p>
    <w:p>
      <w:pPr>
        <w:pStyle w:val="ListParagraph"/>
        <w:numPr>
          <w:ilvl w:val="0"/>
          <w:numId w:val="1"/>
        </w:numPr>
        <w:tabs>
          <w:tab w:pos="840" w:val="left" w:leader="none"/>
        </w:tabs>
        <w:spacing w:line="360" w:lineRule="auto" w:before="0" w:after="0"/>
        <w:ind w:left="839" w:right="1196" w:hanging="721"/>
        <w:jc w:val="both"/>
        <w:rPr>
          <w:sz w:val="20"/>
        </w:rPr>
      </w:pPr>
      <w:r>
        <w:rPr>
          <w:sz w:val="20"/>
        </w:rPr>
        <w:t>Varma telephoned me and told me that none of my concerns were legitimate or correct, and that GSFC and the GSFC Nominees were doing everything 100% in accordance with Canadian laws, including governance and having a KRN Board with a majority of independent directors, and an audit committee with all independent members. Based on Varma’s conversations with me, and with Greg Szabo, we mistakenly decided not to pursue our complaints with the</w:t>
      </w:r>
      <w:r>
        <w:rPr>
          <w:spacing w:val="-19"/>
          <w:sz w:val="20"/>
        </w:rPr>
        <w:t> </w:t>
      </w:r>
      <w:r>
        <w:rPr>
          <w:sz w:val="20"/>
        </w:rPr>
        <w:t>TSX.</w:t>
      </w:r>
    </w:p>
    <w:p>
      <w:pPr>
        <w:pStyle w:val="BodyText"/>
        <w:rPr>
          <w:sz w:val="21"/>
        </w:rPr>
      </w:pPr>
    </w:p>
    <w:p>
      <w:pPr>
        <w:pStyle w:val="ListParagraph"/>
        <w:numPr>
          <w:ilvl w:val="0"/>
          <w:numId w:val="1"/>
        </w:numPr>
        <w:tabs>
          <w:tab w:pos="840" w:val="left" w:leader="none"/>
        </w:tabs>
        <w:spacing w:line="360" w:lineRule="auto" w:before="0" w:after="0"/>
        <w:ind w:left="839" w:right="1197" w:hanging="721"/>
        <w:jc w:val="both"/>
        <w:rPr>
          <w:sz w:val="20"/>
        </w:rPr>
      </w:pPr>
      <w:r>
        <w:rPr>
          <w:sz w:val="20"/>
        </w:rPr>
        <w:t>I verily believe that Varma was lying to me for the sole purpose of ensuring that GSFC maintained control of the KRN Board and to make sure the TSX did not investigate our</w:t>
      </w:r>
      <w:r>
        <w:rPr>
          <w:spacing w:val="-23"/>
          <w:sz w:val="20"/>
        </w:rPr>
        <w:t> </w:t>
      </w:r>
      <w:r>
        <w:rPr>
          <w:sz w:val="20"/>
        </w:rPr>
        <w:t>concerns.</w:t>
      </w:r>
    </w:p>
    <w:p>
      <w:pPr>
        <w:spacing w:after="0" w:line="360" w:lineRule="auto"/>
        <w:jc w:val="both"/>
        <w:rPr>
          <w:sz w:val="20"/>
        </w:rPr>
        <w:sectPr>
          <w:footerReference w:type="default" r:id="rId10"/>
          <w:pgSz w:w="12240" w:h="15840"/>
          <w:pgMar w:footer="971" w:header="0" w:top="1220" w:bottom="1160" w:left="1320" w:right="240"/>
          <w:pgNumType w:start="14"/>
        </w:sectPr>
      </w:pPr>
    </w:p>
    <w:p>
      <w:pPr>
        <w:pStyle w:val="ListParagraph"/>
        <w:numPr>
          <w:ilvl w:val="0"/>
          <w:numId w:val="1"/>
        </w:numPr>
        <w:tabs>
          <w:tab w:pos="841" w:val="left" w:leader="none"/>
        </w:tabs>
        <w:spacing w:line="360" w:lineRule="auto" w:before="75" w:after="0"/>
        <w:ind w:left="840" w:right="1196" w:hanging="721"/>
        <w:jc w:val="both"/>
        <w:rPr>
          <w:sz w:val="20"/>
        </w:rPr>
      </w:pPr>
      <w:r>
        <w:rPr/>
        <w:drawing>
          <wp:anchor distT="0" distB="0" distL="0" distR="0" allowOverlap="1" layoutInCell="1" locked="0" behindDoc="0" simplePos="0" relativeHeight="251663360">
            <wp:simplePos x="0" y="0"/>
            <wp:positionH relativeFrom="page">
              <wp:posOffset>6769798</wp:posOffset>
            </wp:positionH>
            <wp:positionV relativeFrom="page">
              <wp:posOffset>9259292</wp:posOffset>
            </wp:positionV>
            <wp:extent cx="657479" cy="555707"/>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11" cstate="print"/>
                    <a:stretch>
                      <a:fillRect/>
                    </a:stretch>
                  </pic:blipFill>
                  <pic:spPr>
                    <a:xfrm>
                      <a:off x="0" y="0"/>
                      <a:ext cx="657479" cy="555707"/>
                    </a:xfrm>
                    <a:prstGeom prst="rect">
                      <a:avLst/>
                    </a:prstGeom>
                  </pic:spPr>
                </pic:pic>
              </a:graphicData>
            </a:graphic>
          </wp:anchor>
        </w:drawing>
      </w:r>
      <w:r>
        <w:rPr>
          <w:sz w:val="20"/>
        </w:rPr>
        <w:t>I verily believe that Varma thought Wheatley was the author of the September Letter, which is not true. Greg Szabo, on behalf of the Concerned Shareholders, was the author of the September Letter, and Greg Szabo sent it to the KRN Board without the knowledge of</w:t>
      </w:r>
      <w:r>
        <w:rPr>
          <w:spacing w:val="-19"/>
          <w:sz w:val="20"/>
        </w:rPr>
        <w:t> </w:t>
      </w:r>
      <w:r>
        <w:rPr>
          <w:sz w:val="20"/>
        </w:rPr>
        <w:t>Wheatley.</w:t>
      </w:r>
    </w:p>
    <w:p>
      <w:pPr>
        <w:pStyle w:val="BodyText"/>
        <w:spacing w:before="11"/>
      </w:pPr>
    </w:p>
    <w:p>
      <w:pPr>
        <w:pStyle w:val="Heading1"/>
        <w:numPr>
          <w:ilvl w:val="0"/>
          <w:numId w:val="4"/>
        </w:numPr>
        <w:tabs>
          <w:tab w:pos="839" w:val="left" w:leader="none"/>
          <w:tab w:pos="841" w:val="left" w:leader="none"/>
        </w:tabs>
        <w:spacing w:line="240" w:lineRule="auto" w:before="0" w:after="0"/>
        <w:ind w:left="840" w:right="0" w:hanging="721"/>
        <w:jc w:val="left"/>
        <w:rPr>
          <w:u w:val="none"/>
        </w:rPr>
      </w:pPr>
      <w:r>
        <w:rPr>
          <w:u w:val="thick"/>
        </w:rPr>
        <w:t>Termination of</w:t>
      </w:r>
      <w:r>
        <w:rPr>
          <w:spacing w:val="-3"/>
          <w:u w:val="thick"/>
        </w:rPr>
        <w:t> </w:t>
      </w:r>
      <w:r>
        <w:rPr>
          <w:u w:val="thick"/>
        </w:rPr>
        <w:t>Wheatley</w:t>
      </w:r>
    </w:p>
    <w:p>
      <w:pPr>
        <w:pStyle w:val="BodyText"/>
        <w:spacing w:before="7"/>
        <w:rPr>
          <w:b/>
          <w:sz w:val="12"/>
        </w:rPr>
      </w:pPr>
    </w:p>
    <w:p>
      <w:pPr>
        <w:pStyle w:val="ListParagraph"/>
        <w:numPr>
          <w:ilvl w:val="0"/>
          <w:numId w:val="1"/>
        </w:numPr>
        <w:tabs>
          <w:tab w:pos="841" w:val="left" w:leader="none"/>
        </w:tabs>
        <w:spacing w:line="360" w:lineRule="auto" w:before="94" w:after="0"/>
        <w:ind w:left="839" w:right="1196" w:hanging="720"/>
        <w:jc w:val="both"/>
        <w:rPr>
          <w:sz w:val="20"/>
        </w:rPr>
      </w:pPr>
      <w:r>
        <w:rPr>
          <w:sz w:val="20"/>
        </w:rPr>
        <w:t>On September 11, 2019, only four (4) days after the September Letter, the KRN Board terminated Wheatley without cause, and appointed Favreau as the Interim CEO. Varma gave me no reason for terminating Wheatley. Attached and marked as </w:t>
      </w:r>
      <w:r>
        <w:rPr>
          <w:b/>
          <w:sz w:val="20"/>
        </w:rPr>
        <w:t>Exhibit “DD” </w:t>
      </w:r>
      <w:r>
        <w:rPr>
          <w:sz w:val="20"/>
        </w:rPr>
        <w:t>to the FDW Affidavit is a copy of the Karnalyte press release dated September 11,</w:t>
      </w:r>
      <w:r>
        <w:rPr>
          <w:spacing w:val="-8"/>
          <w:sz w:val="20"/>
        </w:rPr>
        <w:t> </w:t>
      </w:r>
      <w:r>
        <w:rPr>
          <w:sz w:val="20"/>
        </w:rPr>
        <w:t>2019.</w:t>
      </w:r>
    </w:p>
    <w:p>
      <w:pPr>
        <w:pStyle w:val="BodyText"/>
        <w:spacing w:before="10"/>
      </w:pPr>
    </w:p>
    <w:p>
      <w:pPr>
        <w:pStyle w:val="ListParagraph"/>
        <w:numPr>
          <w:ilvl w:val="0"/>
          <w:numId w:val="1"/>
        </w:numPr>
        <w:tabs>
          <w:tab w:pos="840" w:val="left" w:leader="none"/>
        </w:tabs>
        <w:spacing w:line="360" w:lineRule="auto" w:before="1" w:after="0"/>
        <w:ind w:left="839" w:right="1197" w:hanging="721"/>
        <w:jc w:val="both"/>
        <w:rPr>
          <w:sz w:val="20"/>
        </w:rPr>
      </w:pPr>
      <w:r>
        <w:rPr>
          <w:sz w:val="20"/>
        </w:rPr>
        <w:t>I verily believe that the September Letter was the final straw for Varma, and precipitated the termination of</w:t>
      </w:r>
      <w:r>
        <w:rPr>
          <w:spacing w:val="-3"/>
          <w:sz w:val="20"/>
        </w:rPr>
        <w:t> </w:t>
      </w:r>
      <w:r>
        <w:rPr>
          <w:sz w:val="20"/>
        </w:rPr>
        <w:t>Wheatley.</w:t>
      </w:r>
    </w:p>
    <w:p>
      <w:pPr>
        <w:pStyle w:val="BodyText"/>
        <w:spacing w:before="10"/>
      </w:pPr>
    </w:p>
    <w:p>
      <w:pPr>
        <w:pStyle w:val="ListParagraph"/>
        <w:numPr>
          <w:ilvl w:val="0"/>
          <w:numId w:val="1"/>
        </w:numPr>
        <w:tabs>
          <w:tab w:pos="840" w:val="left" w:leader="none"/>
        </w:tabs>
        <w:spacing w:line="360" w:lineRule="auto" w:before="0" w:after="0"/>
        <w:ind w:left="839" w:right="1195" w:hanging="721"/>
        <w:jc w:val="both"/>
        <w:rPr>
          <w:sz w:val="20"/>
        </w:rPr>
      </w:pPr>
      <w:r>
        <w:rPr>
          <w:sz w:val="20"/>
        </w:rPr>
        <w:t>I</w:t>
      </w:r>
      <w:r>
        <w:rPr>
          <w:spacing w:val="-8"/>
          <w:sz w:val="20"/>
        </w:rPr>
        <w:t> </w:t>
      </w:r>
      <w:r>
        <w:rPr>
          <w:sz w:val="20"/>
        </w:rPr>
        <w:t>verily</w:t>
      </w:r>
      <w:r>
        <w:rPr>
          <w:spacing w:val="-7"/>
          <w:sz w:val="20"/>
        </w:rPr>
        <w:t> </w:t>
      </w:r>
      <w:r>
        <w:rPr>
          <w:sz w:val="20"/>
        </w:rPr>
        <w:t>believe</w:t>
      </w:r>
      <w:r>
        <w:rPr>
          <w:spacing w:val="-6"/>
          <w:sz w:val="20"/>
        </w:rPr>
        <w:t> </w:t>
      </w:r>
      <w:r>
        <w:rPr>
          <w:sz w:val="20"/>
        </w:rPr>
        <w:t>that</w:t>
      </w:r>
      <w:r>
        <w:rPr>
          <w:spacing w:val="-8"/>
          <w:sz w:val="20"/>
        </w:rPr>
        <w:t> </w:t>
      </w:r>
      <w:r>
        <w:rPr>
          <w:sz w:val="20"/>
        </w:rPr>
        <w:t>Varma</w:t>
      </w:r>
      <w:r>
        <w:rPr>
          <w:spacing w:val="-9"/>
          <w:sz w:val="20"/>
        </w:rPr>
        <w:t> </w:t>
      </w:r>
      <w:r>
        <w:rPr>
          <w:sz w:val="20"/>
        </w:rPr>
        <w:t>and</w:t>
      </w:r>
      <w:r>
        <w:rPr>
          <w:spacing w:val="-6"/>
          <w:sz w:val="20"/>
        </w:rPr>
        <w:t> </w:t>
      </w:r>
      <w:r>
        <w:rPr>
          <w:sz w:val="20"/>
        </w:rPr>
        <w:t>Favreau</w:t>
      </w:r>
      <w:r>
        <w:rPr>
          <w:spacing w:val="-9"/>
          <w:sz w:val="20"/>
        </w:rPr>
        <w:t> </w:t>
      </w:r>
      <w:r>
        <w:rPr>
          <w:sz w:val="20"/>
        </w:rPr>
        <w:t>had</w:t>
      </w:r>
      <w:r>
        <w:rPr>
          <w:spacing w:val="-6"/>
          <w:sz w:val="20"/>
        </w:rPr>
        <w:t> </w:t>
      </w:r>
      <w:r>
        <w:rPr>
          <w:sz w:val="20"/>
        </w:rPr>
        <w:t>been</w:t>
      </w:r>
      <w:r>
        <w:rPr>
          <w:spacing w:val="-7"/>
          <w:sz w:val="20"/>
        </w:rPr>
        <w:t> </w:t>
      </w:r>
      <w:r>
        <w:rPr>
          <w:sz w:val="20"/>
        </w:rPr>
        <w:t>planning</w:t>
      </w:r>
      <w:r>
        <w:rPr>
          <w:spacing w:val="-7"/>
          <w:sz w:val="20"/>
        </w:rPr>
        <w:t> </w:t>
      </w:r>
      <w:r>
        <w:rPr>
          <w:sz w:val="20"/>
        </w:rPr>
        <w:t>on</w:t>
      </w:r>
      <w:r>
        <w:rPr>
          <w:spacing w:val="-6"/>
          <w:sz w:val="20"/>
        </w:rPr>
        <w:t> </w:t>
      </w:r>
      <w:r>
        <w:rPr>
          <w:sz w:val="20"/>
        </w:rPr>
        <w:t>terminating</w:t>
      </w:r>
      <w:r>
        <w:rPr>
          <w:spacing w:val="-7"/>
          <w:sz w:val="20"/>
        </w:rPr>
        <w:t> </w:t>
      </w:r>
      <w:r>
        <w:rPr>
          <w:sz w:val="20"/>
        </w:rPr>
        <w:t>Wheatley</w:t>
      </w:r>
      <w:r>
        <w:rPr>
          <w:spacing w:val="-7"/>
          <w:sz w:val="20"/>
        </w:rPr>
        <w:t> </w:t>
      </w:r>
      <w:r>
        <w:rPr>
          <w:sz w:val="20"/>
        </w:rPr>
        <w:t>for</w:t>
      </w:r>
      <w:r>
        <w:rPr>
          <w:spacing w:val="-7"/>
          <w:sz w:val="20"/>
        </w:rPr>
        <w:t> </w:t>
      </w:r>
      <w:r>
        <w:rPr>
          <w:sz w:val="20"/>
        </w:rPr>
        <w:t>some</w:t>
      </w:r>
      <w:r>
        <w:rPr>
          <w:spacing w:val="-7"/>
          <w:sz w:val="20"/>
        </w:rPr>
        <w:t> </w:t>
      </w:r>
      <w:r>
        <w:rPr>
          <w:sz w:val="20"/>
        </w:rPr>
        <w:t>time, and appointing Favreau as interim CEO, because it was apparent that Wheatley was trying to conduct KRN’s busines according to standard Canadian business practices for a public company, including in accordance with Securities Laws and TSX Rules, rather than the way Varma and the other GSFC Nominees conduct business in</w:t>
      </w:r>
      <w:r>
        <w:rPr>
          <w:spacing w:val="-6"/>
          <w:sz w:val="20"/>
        </w:rPr>
        <w:t> </w:t>
      </w:r>
      <w:r>
        <w:rPr>
          <w:sz w:val="20"/>
        </w:rPr>
        <w:t>India.</w:t>
      </w:r>
    </w:p>
    <w:p>
      <w:pPr>
        <w:pStyle w:val="BodyText"/>
        <w:spacing w:before="9"/>
      </w:pPr>
    </w:p>
    <w:p>
      <w:pPr>
        <w:pStyle w:val="Heading1"/>
        <w:numPr>
          <w:ilvl w:val="0"/>
          <w:numId w:val="4"/>
        </w:numPr>
        <w:tabs>
          <w:tab w:pos="839" w:val="left" w:leader="none"/>
          <w:tab w:pos="841" w:val="left" w:leader="none"/>
        </w:tabs>
        <w:spacing w:line="240" w:lineRule="auto" w:before="0" w:after="0"/>
        <w:ind w:left="840" w:right="0" w:hanging="721"/>
        <w:jc w:val="left"/>
        <w:rPr>
          <w:u w:val="none"/>
        </w:rPr>
      </w:pPr>
      <w:r>
        <w:rPr>
          <w:u w:val="thick"/>
        </w:rPr>
        <w:t>GSFC Stopped Progress on Nitrogen</w:t>
      </w:r>
      <w:r>
        <w:rPr>
          <w:spacing w:val="-6"/>
          <w:u w:val="thick"/>
        </w:rPr>
        <w:t> </w:t>
      </w:r>
      <w:r>
        <w:rPr>
          <w:u w:val="thick"/>
        </w:rPr>
        <w:t>Project</w:t>
      </w:r>
    </w:p>
    <w:p>
      <w:pPr>
        <w:pStyle w:val="BodyText"/>
        <w:spacing w:before="9"/>
        <w:rPr>
          <w:b/>
          <w:sz w:val="22"/>
        </w:rPr>
      </w:pPr>
    </w:p>
    <w:p>
      <w:pPr>
        <w:pStyle w:val="ListParagraph"/>
        <w:numPr>
          <w:ilvl w:val="0"/>
          <w:numId w:val="1"/>
        </w:numPr>
        <w:tabs>
          <w:tab w:pos="841" w:val="left" w:leader="none"/>
        </w:tabs>
        <w:spacing w:line="360" w:lineRule="auto" w:before="94" w:after="0"/>
        <w:ind w:left="840" w:right="1195" w:hanging="721"/>
        <w:jc w:val="both"/>
        <w:rPr>
          <w:sz w:val="20"/>
        </w:rPr>
      </w:pPr>
      <w:r>
        <w:rPr>
          <w:sz w:val="20"/>
        </w:rPr>
        <w:t>I</w:t>
      </w:r>
      <w:r>
        <w:rPr>
          <w:spacing w:val="-16"/>
          <w:sz w:val="20"/>
        </w:rPr>
        <w:t> </w:t>
      </w:r>
      <w:r>
        <w:rPr>
          <w:sz w:val="20"/>
        </w:rPr>
        <w:t>verily</w:t>
      </w:r>
      <w:r>
        <w:rPr>
          <w:spacing w:val="-14"/>
          <w:sz w:val="20"/>
        </w:rPr>
        <w:t> </w:t>
      </w:r>
      <w:r>
        <w:rPr>
          <w:sz w:val="20"/>
        </w:rPr>
        <w:t>believe</w:t>
      </w:r>
      <w:r>
        <w:rPr>
          <w:spacing w:val="-15"/>
          <w:sz w:val="20"/>
        </w:rPr>
        <w:t> </w:t>
      </w:r>
      <w:r>
        <w:rPr>
          <w:sz w:val="20"/>
        </w:rPr>
        <w:t>that</w:t>
      </w:r>
      <w:r>
        <w:rPr>
          <w:spacing w:val="-15"/>
          <w:sz w:val="20"/>
        </w:rPr>
        <w:t> </w:t>
      </w:r>
      <w:r>
        <w:rPr>
          <w:sz w:val="20"/>
        </w:rPr>
        <w:t>all</w:t>
      </w:r>
      <w:r>
        <w:rPr>
          <w:spacing w:val="-16"/>
          <w:sz w:val="20"/>
        </w:rPr>
        <w:t> </w:t>
      </w:r>
      <w:r>
        <w:rPr>
          <w:sz w:val="20"/>
        </w:rPr>
        <w:t>of</w:t>
      </w:r>
      <w:r>
        <w:rPr>
          <w:spacing w:val="-16"/>
          <w:sz w:val="20"/>
        </w:rPr>
        <w:t> </w:t>
      </w:r>
      <w:r>
        <w:rPr>
          <w:sz w:val="20"/>
        </w:rPr>
        <w:t>the</w:t>
      </w:r>
      <w:r>
        <w:rPr>
          <w:spacing w:val="-15"/>
          <w:sz w:val="20"/>
        </w:rPr>
        <w:t> </w:t>
      </w:r>
      <w:r>
        <w:rPr>
          <w:sz w:val="20"/>
        </w:rPr>
        <w:t>progress</w:t>
      </w:r>
      <w:r>
        <w:rPr>
          <w:spacing w:val="-16"/>
          <w:sz w:val="20"/>
        </w:rPr>
        <w:t> </w:t>
      </w:r>
      <w:r>
        <w:rPr>
          <w:sz w:val="20"/>
        </w:rPr>
        <w:t>Wheatley</w:t>
      </w:r>
      <w:r>
        <w:rPr>
          <w:spacing w:val="-14"/>
          <w:sz w:val="20"/>
        </w:rPr>
        <w:t> </w:t>
      </w:r>
      <w:r>
        <w:rPr>
          <w:sz w:val="20"/>
        </w:rPr>
        <w:t>made</w:t>
      </w:r>
      <w:r>
        <w:rPr>
          <w:spacing w:val="-16"/>
          <w:sz w:val="20"/>
        </w:rPr>
        <w:t> </w:t>
      </w:r>
      <w:r>
        <w:rPr>
          <w:sz w:val="20"/>
        </w:rPr>
        <w:t>on</w:t>
      </w:r>
      <w:r>
        <w:rPr>
          <w:spacing w:val="-16"/>
          <w:sz w:val="20"/>
        </w:rPr>
        <w:t> </w:t>
      </w:r>
      <w:r>
        <w:rPr>
          <w:sz w:val="20"/>
        </w:rPr>
        <w:t>the</w:t>
      </w:r>
      <w:r>
        <w:rPr>
          <w:spacing w:val="-15"/>
          <w:sz w:val="20"/>
        </w:rPr>
        <w:t> </w:t>
      </w:r>
      <w:r>
        <w:rPr>
          <w:sz w:val="20"/>
        </w:rPr>
        <w:t>Nitrogen</w:t>
      </w:r>
      <w:r>
        <w:rPr>
          <w:spacing w:val="-15"/>
          <w:sz w:val="20"/>
        </w:rPr>
        <w:t> </w:t>
      </w:r>
      <w:r>
        <w:rPr>
          <w:sz w:val="20"/>
        </w:rPr>
        <w:t>Project</w:t>
      </w:r>
      <w:r>
        <w:rPr>
          <w:spacing w:val="-15"/>
          <w:sz w:val="20"/>
        </w:rPr>
        <w:t> </w:t>
      </w:r>
      <w:r>
        <w:rPr>
          <w:sz w:val="20"/>
        </w:rPr>
        <w:t>during</w:t>
      </w:r>
      <w:r>
        <w:rPr>
          <w:spacing w:val="-15"/>
          <w:sz w:val="20"/>
        </w:rPr>
        <w:t> </w:t>
      </w:r>
      <w:r>
        <w:rPr>
          <w:sz w:val="20"/>
        </w:rPr>
        <w:t>2018,</w:t>
      </w:r>
      <w:r>
        <w:rPr>
          <w:spacing w:val="-16"/>
          <w:sz w:val="20"/>
        </w:rPr>
        <w:t> </w:t>
      </w:r>
      <w:r>
        <w:rPr>
          <w:sz w:val="20"/>
        </w:rPr>
        <w:t>occurred while the KRN Board had a majority of independent directors. I verily believe that all progress on the</w:t>
      </w:r>
      <w:r>
        <w:rPr>
          <w:spacing w:val="-7"/>
          <w:sz w:val="20"/>
        </w:rPr>
        <w:t> </w:t>
      </w:r>
      <w:r>
        <w:rPr>
          <w:sz w:val="20"/>
        </w:rPr>
        <w:t>Nitrogen</w:t>
      </w:r>
      <w:r>
        <w:rPr>
          <w:spacing w:val="-6"/>
          <w:sz w:val="20"/>
        </w:rPr>
        <w:t> </w:t>
      </w:r>
      <w:r>
        <w:rPr>
          <w:sz w:val="20"/>
        </w:rPr>
        <w:t>Project</w:t>
      </w:r>
      <w:r>
        <w:rPr>
          <w:spacing w:val="-7"/>
          <w:sz w:val="20"/>
        </w:rPr>
        <w:t> </w:t>
      </w:r>
      <w:r>
        <w:rPr>
          <w:sz w:val="20"/>
        </w:rPr>
        <w:t>stopped</w:t>
      </w:r>
      <w:r>
        <w:rPr>
          <w:spacing w:val="-7"/>
          <w:sz w:val="20"/>
        </w:rPr>
        <w:t> </w:t>
      </w:r>
      <w:r>
        <w:rPr>
          <w:sz w:val="20"/>
        </w:rPr>
        <w:t>in</w:t>
      </w:r>
      <w:r>
        <w:rPr>
          <w:spacing w:val="-7"/>
          <w:sz w:val="20"/>
        </w:rPr>
        <w:t> </w:t>
      </w:r>
      <w:r>
        <w:rPr>
          <w:sz w:val="20"/>
        </w:rPr>
        <w:t>2019,</w:t>
      </w:r>
      <w:r>
        <w:rPr>
          <w:spacing w:val="-7"/>
          <w:sz w:val="20"/>
        </w:rPr>
        <w:t> </w:t>
      </w:r>
      <w:r>
        <w:rPr>
          <w:sz w:val="20"/>
        </w:rPr>
        <w:t>after</w:t>
      </w:r>
      <w:r>
        <w:rPr>
          <w:spacing w:val="-6"/>
          <w:sz w:val="20"/>
        </w:rPr>
        <w:t> </w:t>
      </w:r>
      <w:r>
        <w:rPr>
          <w:sz w:val="20"/>
        </w:rPr>
        <w:t>the</w:t>
      </w:r>
      <w:r>
        <w:rPr>
          <w:spacing w:val="-6"/>
          <w:sz w:val="20"/>
        </w:rPr>
        <w:t> </w:t>
      </w:r>
      <w:r>
        <w:rPr>
          <w:sz w:val="20"/>
        </w:rPr>
        <w:t>GSFC</w:t>
      </w:r>
      <w:r>
        <w:rPr>
          <w:spacing w:val="-6"/>
          <w:sz w:val="20"/>
        </w:rPr>
        <w:t> </w:t>
      </w:r>
      <w:r>
        <w:rPr>
          <w:sz w:val="20"/>
        </w:rPr>
        <w:t>Nominees</w:t>
      </w:r>
      <w:r>
        <w:rPr>
          <w:spacing w:val="-7"/>
          <w:sz w:val="20"/>
        </w:rPr>
        <w:t> </w:t>
      </w:r>
      <w:r>
        <w:rPr>
          <w:sz w:val="20"/>
        </w:rPr>
        <w:t>found</w:t>
      </w:r>
      <w:r>
        <w:rPr>
          <w:spacing w:val="-6"/>
          <w:sz w:val="20"/>
        </w:rPr>
        <w:t> </w:t>
      </w:r>
      <w:r>
        <w:rPr>
          <w:sz w:val="20"/>
        </w:rPr>
        <w:t>themselves</w:t>
      </w:r>
      <w:r>
        <w:rPr>
          <w:spacing w:val="-6"/>
          <w:sz w:val="20"/>
        </w:rPr>
        <w:t> </w:t>
      </w:r>
      <w:r>
        <w:rPr>
          <w:sz w:val="20"/>
        </w:rPr>
        <w:t>in</w:t>
      </w:r>
      <w:r>
        <w:rPr>
          <w:spacing w:val="-6"/>
          <w:sz w:val="20"/>
        </w:rPr>
        <w:t> </w:t>
      </w:r>
      <w:r>
        <w:rPr>
          <w:sz w:val="20"/>
        </w:rPr>
        <w:t>control</w:t>
      </w:r>
      <w:r>
        <w:rPr>
          <w:spacing w:val="-8"/>
          <w:sz w:val="20"/>
        </w:rPr>
        <w:t> </w:t>
      </w:r>
      <w:r>
        <w:rPr>
          <w:sz w:val="20"/>
        </w:rPr>
        <w:t>of</w:t>
      </w:r>
      <w:r>
        <w:rPr>
          <w:spacing w:val="-7"/>
          <w:sz w:val="20"/>
        </w:rPr>
        <w:t> </w:t>
      </w:r>
      <w:r>
        <w:rPr>
          <w:sz w:val="20"/>
        </w:rPr>
        <w:t>the KRN Board. I verily believe KRN’s public disclosure on the Nitrogen Project during 2019 confirms this total lack of</w:t>
      </w:r>
      <w:r>
        <w:rPr>
          <w:spacing w:val="-3"/>
          <w:sz w:val="20"/>
        </w:rPr>
        <w:t> </w:t>
      </w:r>
      <w:r>
        <w:rPr>
          <w:sz w:val="20"/>
        </w:rPr>
        <w:t>progress.</w:t>
      </w:r>
    </w:p>
    <w:p>
      <w:pPr>
        <w:pStyle w:val="BodyText"/>
        <w:spacing w:before="9"/>
      </w:pPr>
    </w:p>
    <w:p>
      <w:pPr>
        <w:pStyle w:val="Heading1"/>
        <w:numPr>
          <w:ilvl w:val="0"/>
          <w:numId w:val="4"/>
        </w:numPr>
        <w:tabs>
          <w:tab w:pos="839" w:val="left" w:leader="none"/>
          <w:tab w:pos="840" w:val="left" w:leader="none"/>
        </w:tabs>
        <w:spacing w:line="240" w:lineRule="auto" w:before="0" w:after="0"/>
        <w:ind w:left="839" w:right="0" w:hanging="720"/>
        <w:jc w:val="left"/>
        <w:rPr>
          <w:u w:val="none"/>
        </w:rPr>
      </w:pPr>
      <w:r>
        <w:rPr>
          <w:u w:val="thick"/>
        </w:rPr>
        <w:t>Favreau’s Lack of</w:t>
      </w:r>
      <w:r>
        <w:rPr>
          <w:spacing w:val="-3"/>
          <w:u w:val="thick"/>
        </w:rPr>
        <w:t> </w:t>
      </w:r>
      <w:r>
        <w:rPr>
          <w:u w:val="thick"/>
        </w:rPr>
        <w:t>Experience</w:t>
      </w:r>
    </w:p>
    <w:p>
      <w:pPr>
        <w:pStyle w:val="BodyText"/>
        <w:spacing w:before="9"/>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I</w:t>
      </w:r>
      <w:r>
        <w:rPr>
          <w:spacing w:val="-6"/>
          <w:sz w:val="20"/>
        </w:rPr>
        <w:t> </w:t>
      </w:r>
      <w:r>
        <w:rPr>
          <w:sz w:val="20"/>
        </w:rPr>
        <w:t>verily</w:t>
      </w:r>
      <w:r>
        <w:rPr>
          <w:spacing w:val="-4"/>
          <w:sz w:val="20"/>
        </w:rPr>
        <w:t> </w:t>
      </w:r>
      <w:r>
        <w:rPr>
          <w:sz w:val="20"/>
        </w:rPr>
        <w:t>believe</w:t>
      </w:r>
      <w:r>
        <w:rPr>
          <w:spacing w:val="-4"/>
          <w:sz w:val="20"/>
        </w:rPr>
        <w:t> </w:t>
      </w:r>
      <w:r>
        <w:rPr>
          <w:sz w:val="20"/>
        </w:rPr>
        <w:t>that</w:t>
      </w:r>
      <w:r>
        <w:rPr>
          <w:spacing w:val="-5"/>
          <w:sz w:val="20"/>
        </w:rPr>
        <w:t> </w:t>
      </w:r>
      <w:r>
        <w:rPr>
          <w:sz w:val="20"/>
        </w:rPr>
        <w:t>from</w:t>
      </w:r>
      <w:r>
        <w:rPr>
          <w:spacing w:val="-4"/>
          <w:sz w:val="20"/>
        </w:rPr>
        <w:t> </w:t>
      </w:r>
      <w:r>
        <w:rPr>
          <w:sz w:val="20"/>
        </w:rPr>
        <w:t>my</w:t>
      </w:r>
      <w:r>
        <w:rPr>
          <w:spacing w:val="-3"/>
          <w:sz w:val="20"/>
        </w:rPr>
        <w:t> </w:t>
      </w:r>
      <w:r>
        <w:rPr>
          <w:sz w:val="20"/>
        </w:rPr>
        <w:t>almost</w:t>
      </w:r>
      <w:r>
        <w:rPr>
          <w:spacing w:val="-6"/>
          <w:sz w:val="20"/>
        </w:rPr>
        <w:t> </w:t>
      </w:r>
      <w:r>
        <w:rPr>
          <w:sz w:val="20"/>
        </w:rPr>
        <w:t>two</w:t>
      </w:r>
      <w:r>
        <w:rPr>
          <w:spacing w:val="-4"/>
          <w:sz w:val="20"/>
        </w:rPr>
        <w:t> </w:t>
      </w:r>
      <w:r>
        <w:rPr>
          <w:sz w:val="20"/>
        </w:rPr>
        <w:t>(2)</w:t>
      </w:r>
      <w:r>
        <w:rPr>
          <w:spacing w:val="-4"/>
          <w:sz w:val="20"/>
        </w:rPr>
        <w:t> </w:t>
      </w:r>
      <w:r>
        <w:rPr>
          <w:sz w:val="20"/>
        </w:rPr>
        <w:t>years</w:t>
      </w:r>
      <w:r>
        <w:rPr>
          <w:spacing w:val="-4"/>
          <w:sz w:val="20"/>
        </w:rPr>
        <w:t> </w:t>
      </w:r>
      <w:r>
        <w:rPr>
          <w:sz w:val="20"/>
        </w:rPr>
        <w:t>serving</w:t>
      </w:r>
      <w:r>
        <w:rPr>
          <w:spacing w:val="-4"/>
          <w:sz w:val="20"/>
        </w:rPr>
        <w:t> </w:t>
      </w:r>
      <w:r>
        <w:rPr>
          <w:sz w:val="20"/>
        </w:rPr>
        <w:t>as</w:t>
      </w:r>
      <w:r>
        <w:rPr>
          <w:spacing w:val="-4"/>
          <w:sz w:val="20"/>
        </w:rPr>
        <w:t> </w:t>
      </w:r>
      <w:r>
        <w:rPr>
          <w:sz w:val="20"/>
        </w:rPr>
        <w:t>a</w:t>
      </w:r>
      <w:r>
        <w:rPr>
          <w:spacing w:val="-4"/>
          <w:sz w:val="20"/>
        </w:rPr>
        <w:t> </w:t>
      </w:r>
      <w:r>
        <w:rPr>
          <w:sz w:val="20"/>
        </w:rPr>
        <w:t>member</w:t>
      </w:r>
      <w:r>
        <w:rPr>
          <w:spacing w:val="-5"/>
          <w:sz w:val="20"/>
        </w:rPr>
        <w:t> </w:t>
      </w:r>
      <w:r>
        <w:rPr>
          <w:sz w:val="20"/>
        </w:rPr>
        <w:t>of</w:t>
      </w:r>
      <w:r>
        <w:rPr>
          <w:spacing w:val="-5"/>
          <w:sz w:val="20"/>
        </w:rPr>
        <w:t> </w:t>
      </w:r>
      <w:r>
        <w:rPr>
          <w:sz w:val="20"/>
        </w:rPr>
        <w:t>the</w:t>
      </w:r>
      <w:r>
        <w:rPr>
          <w:spacing w:val="-4"/>
          <w:sz w:val="20"/>
        </w:rPr>
        <w:t> </w:t>
      </w:r>
      <w:r>
        <w:rPr>
          <w:sz w:val="20"/>
        </w:rPr>
        <w:t>KRN</w:t>
      </w:r>
      <w:r>
        <w:rPr>
          <w:spacing w:val="-4"/>
          <w:sz w:val="20"/>
        </w:rPr>
        <w:t> </w:t>
      </w:r>
      <w:r>
        <w:rPr>
          <w:sz w:val="20"/>
        </w:rPr>
        <w:t>Board,</w:t>
      </w:r>
      <w:r>
        <w:rPr>
          <w:spacing w:val="-5"/>
          <w:sz w:val="20"/>
        </w:rPr>
        <w:t> </w:t>
      </w:r>
      <w:r>
        <w:rPr>
          <w:sz w:val="20"/>
        </w:rPr>
        <w:t>Favreau did</w:t>
      </w:r>
      <w:r>
        <w:rPr>
          <w:spacing w:val="-13"/>
          <w:sz w:val="20"/>
        </w:rPr>
        <w:t> </w:t>
      </w:r>
      <w:r>
        <w:rPr>
          <w:sz w:val="20"/>
        </w:rPr>
        <w:t>not</w:t>
      </w:r>
      <w:r>
        <w:rPr>
          <w:spacing w:val="-14"/>
          <w:sz w:val="20"/>
        </w:rPr>
        <w:t> </w:t>
      </w:r>
      <w:r>
        <w:rPr>
          <w:sz w:val="20"/>
        </w:rPr>
        <w:t>have</w:t>
      </w:r>
      <w:r>
        <w:rPr>
          <w:spacing w:val="-15"/>
          <w:sz w:val="20"/>
        </w:rPr>
        <w:t> </w:t>
      </w:r>
      <w:r>
        <w:rPr>
          <w:sz w:val="20"/>
        </w:rPr>
        <w:t>any</w:t>
      </w:r>
      <w:r>
        <w:rPr>
          <w:spacing w:val="-12"/>
          <w:sz w:val="20"/>
        </w:rPr>
        <w:t> </w:t>
      </w:r>
      <w:r>
        <w:rPr>
          <w:sz w:val="20"/>
        </w:rPr>
        <w:t>of</w:t>
      </w:r>
      <w:r>
        <w:rPr>
          <w:spacing w:val="-14"/>
          <w:sz w:val="20"/>
        </w:rPr>
        <w:t> </w:t>
      </w:r>
      <w:r>
        <w:rPr>
          <w:sz w:val="20"/>
        </w:rPr>
        <w:t>the</w:t>
      </w:r>
      <w:r>
        <w:rPr>
          <w:spacing w:val="-15"/>
          <w:sz w:val="20"/>
        </w:rPr>
        <w:t> </w:t>
      </w:r>
      <w:r>
        <w:rPr>
          <w:sz w:val="20"/>
        </w:rPr>
        <w:t>skills,</w:t>
      </w:r>
      <w:r>
        <w:rPr>
          <w:spacing w:val="-14"/>
          <w:sz w:val="20"/>
        </w:rPr>
        <w:t> </w:t>
      </w:r>
      <w:r>
        <w:rPr>
          <w:sz w:val="20"/>
        </w:rPr>
        <w:t>qualifications,</w:t>
      </w:r>
      <w:r>
        <w:rPr>
          <w:spacing w:val="-13"/>
          <w:sz w:val="20"/>
        </w:rPr>
        <w:t> </w:t>
      </w:r>
      <w:r>
        <w:rPr>
          <w:sz w:val="20"/>
        </w:rPr>
        <w:t>background</w:t>
      </w:r>
      <w:r>
        <w:rPr>
          <w:spacing w:val="-13"/>
          <w:sz w:val="20"/>
        </w:rPr>
        <w:t> </w:t>
      </w:r>
      <w:r>
        <w:rPr>
          <w:sz w:val="20"/>
        </w:rPr>
        <w:t>or</w:t>
      </w:r>
      <w:r>
        <w:rPr>
          <w:spacing w:val="-13"/>
          <w:sz w:val="20"/>
        </w:rPr>
        <w:t> </w:t>
      </w:r>
      <w:r>
        <w:rPr>
          <w:sz w:val="20"/>
        </w:rPr>
        <w:t>experience</w:t>
      </w:r>
      <w:r>
        <w:rPr>
          <w:spacing w:val="-13"/>
          <w:sz w:val="20"/>
        </w:rPr>
        <w:t> </w:t>
      </w:r>
      <w:r>
        <w:rPr>
          <w:sz w:val="20"/>
        </w:rPr>
        <w:t>to</w:t>
      </w:r>
      <w:r>
        <w:rPr>
          <w:spacing w:val="-12"/>
          <w:sz w:val="20"/>
        </w:rPr>
        <w:t> </w:t>
      </w:r>
      <w:r>
        <w:rPr>
          <w:sz w:val="20"/>
        </w:rPr>
        <w:t>be</w:t>
      </w:r>
      <w:r>
        <w:rPr>
          <w:spacing w:val="-13"/>
          <w:sz w:val="20"/>
        </w:rPr>
        <w:t> </w:t>
      </w:r>
      <w:r>
        <w:rPr>
          <w:sz w:val="20"/>
        </w:rPr>
        <w:t>the</w:t>
      </w:r>
      <w:r>
        <w:rPr>
          <w:spacing w:val="-13"/>
          <w:sz w:val="20"/>
        </w:rPr>
        <w:t> </w:t>
      </w:r>
      <w:r>
        <w:rPr>
          <w:sz w:val="20"/>
        </w:rPr>
        <w:t>CEO</w:t>
      </w:r>
      <w:r>
        <w:rPr>
          <w:spacing w:val="-13"/>
          <w:sz w:val="20"/>
        </w:rPr>
        <w:t> </w:t>
      </w:r>
      <w:r>
        <w:rPr>
          <w:sz w:val="20"/>
        </w:rPr>
        <w:t>of</w:t>
      </w:r>
      <w:r>
        <w:rPr>
          <w:spacing w:val="-14"/>
          <w:sz w:val="20"/>
        </w:rPr>
        <w:t> </w:t>
      </w:r>
      <w:r>
        <w:rPr>
          <w:sz w:val="20"/>
        </w:rPr>
        <w:t>a</w:t>
      </w:r>
      <w:r>
        <w:rPr>
          <w:spacing w:val="-12"/>
          <w:sz w:val="20"/>
        </w:rPr>
        <w:t> </w:t>
      </w:r>
      <w:r>
        <w:rPr>
          <w:sz w:val="20"/>
        </w:rPr>
        <w:t>Canadian public company. Not when compared to the skills, qualifications, background and experience of the CEOs of the many successful Canadian publicly listed mining companies in which I have invested. She was the Interim CFO of KRN when I joined the KRN</w:t>
      </w:r>
      <w:r>
        <w:rPr>
          <w:spacing w:val="-14"/>
          <w:sz w:val="20"/>
        </w:rPr>
        <w:t> </w:t>
      </w:r>
      <w:r>
        <w:rPr>
          <w:sz w:val="20"/>
        </w:rPr>
        <w:t>Board.</w:t>
      </w:r>
    </w:p>
    <w:p>
      <w:pPr>
        <w:pStyle w:val="BodyText"/>
        <w:spacing w:before="10"/>
      </w:pPr>
    </w:p>
    <w:p>
      <w:pPr>
        <w:pStyle w:val="ListParagraph"/>
        <w:numPr>
          <w:ilvl w:val="0"/>
          <w:numId w:val="1"/>
        </w:numPr>
        <w:tabs>
          <w:tab w:pos="841" w:val="left" w:leader="none"/>
        </w:tabs>
        <w:spacing w:line="360" w:lineRule="auto" w:before="0" w:after="0"/>
        <w:ind w:left="839" w:right="1196" w:hanging="720"/>
        <w:jc w:val="both"/>
        <w:rPr>
          <w:sz w:val="20"/>
        </w:rPr>
      </w:pPr>
      <w:r>
        <w:rPr>
          <w:sz w:val="20"/>
        </w:rPr>
        <w:t>When the KRN Board appointed Favreau as the Chief Financial Officer (the “</w:t>
      </w:r>
      <w:r>
        <w:rPr>
          <w:b/>
          <w:sz w:val="20"/>
        </w:rPr>
        <w:t>CFO</w:t>
      </w:r>
      <w:r>
        <w:rPr>
          <w:sz w:val="20"/>
        </w:rPr>
        <w:t>”) of KRN in November 2017, section 3.4 (a) was added into her employment agreement that allowed the KRN Board</w:t>
      </w:r>
      <w:r>
        <w:rPr>
          <w:spacing w:val="-8"/>
          <w:sz w:val="20"/>
        </w:rPr>
        <w:t> </w:t>
      </w:r>
      <w:r>
        <w:rPr>
          <w:sz w:val="20"/>
        </w:rPr>
        <w:t>in</w:t>
      </w:r>
      <w:r>
        <w:rPr>
          <w:spacing w:val="-6"/>
          <w:sz w:val="20"/>
        </w:rPr>
        <w:t> </w:t>
      </w:r>
      <w:r>
        <w:rPr>
          <w:sz w:val="20"/>
        </w:rPr>
        <w:t>their</w:t>
      </w:r>
      <w:r>
        <w:rPr>
          <w:spacing w:val="-7"/>
          <w:sz w:val="20"/>
        </w:rPr>
        <w:t> </w:t>
      </w:r>
      <w:r>
        <w:rPr>
          <w:sz w:val="20"/>
        </w:rPr>
        <w:t>sole</w:t>
      </w:r>
      <w:r>
        <w:rPr>
          <w:spacing w:val="-6"/>
          <w:sz w:val="20"/>
        </w:rPr>
        <w:t> </w:t>
      </w:r>
      <w:r>
        <w:rPr>
          <w:sz w:val="20"/>
        </w:rPr>
        <w:t>discretion</w:t>
      </w:r>
      <w:r>
        <w:rPr>
          <w:spacing w:val="-7"/>
          <w:sz w:val="20"/>
        </w:rPr>
        <w:t> </w:t>
      </w:r>
      <w:r>
        <w:rPr>
          <w:sz w:val="20"/>
        </w:rPr>
        <w:t>to</w:t>
      </w:r>
      <w:r>
        <w:rPr>
          <w:spacing w:val="-6"/>
          <w:sz w:val="20"/>
        </w:rPr>
        <w:t> </w:t>
      </w:r>
      <w:r>
        <w:rPr>
          <w:sz w:val="20"/>
        </w:rPr>
        <w:t>move</w:t>
      </w:r>
      <w:r>
        <w:rPr>
          <w:spacing w:val="-6"/>
          <w:sz w:val="20"/>
        </w:rPr>
        <w:t> </w:t>
      </w:r>
      <w:r>
        <w:rPr>
          <w:sz w:val="20"/>
        </w:rPr>
        <w:t>her</w:t>
      </w:r>
      <w:r>
        <w:rPr>
          <w:spacing w:val="-7"/>
          <w:sz w:val="20"/>
        </w:rPr>
        <w:t> </w:t>
      </w:r>
      <w:r>
        <w:rPr>
          <w:sz w:val="20"/>
        </w:rPr>
        <w:t>back</w:t>
      </w:r>
      <w:r>
        <w:rPr>
          <w:spacing w:val="-6"/>
          <w:sz w:val="20"/>
        </w:rPr>
        <w:t> </w:t>
      </w:r>
      <w:r>
        <w:rPr>
          <w:sz w:val="20"/>
        </w:rPr>
        <w:t>to</w:t>
      </w:r>
      <w:r>
        <w:rPr>
          <w:spacing w:val="-6"/>
          <w:sz w:val="20"/>
        </w:rPr>
        <w:t> </w:t>
      </w:r>
      <w:r>
        <w:rPr>
          <w:sz w:val="20"/>
        </w:rPr>
        <w:t>her</w:t>
      </w:r>
      <w:r>
        <w:rPr>
          <w:spacing w:val="-6"/>
          <w:sz w:val="20"/>
        </w:rPr>
        <w:t> </w:t>
      </w:r>
      <w:r>
        <w:rPr>
          <w:sz w:val="20"/>
        </w:rPr>
        <w:t>original</w:t>
      </w:r>
      <w:r>
        <w:rPr>
          <w:spacing w:val="-7"/>
          <w:sz w:val="20"/>
        </w:rPr>
        <w:t> </w:t>
      </w:r>
      <w:r>
        <w:rPr>
          <w:sz w:val="20"/>
        </w:rPr>
        <w:t>position</w:t>
      </w:r>
      <w:r>
        <w:rPr>
          <w:spacing w:val="-6"/>
          <w:sz w:val="20"/>
        </w:rPr>
        <w:t> </w:t>
      </w:r>
      <w:r>
        <w:rPr>
          <w:sz w:val="20"/>
        </w:rPr>
        <w:t>of</w:t>
      </w:r>
      <w:r>
        <w:rPr>
          <w:spacing w:val="-7"/>
          <w:sz w:val="20"/>
        </w:rPr>
        <w:t> </w:t>
      </w:r>
      <w:r>
        <w:rPr>
          <w:sz w:val="20"/>
        </w:rPr>
        <w:t>Controller</w:t>
      </w:r>
      <w:r>
        <w:rPr>
          <w:spacing w:val="-6"/>
          <w:sz w:val="20"/>
        </w:rPr>
        <w:t> </w:t>
      </w:r>
      <w:r>
        <w:rPr>
          <w:sz w:val="20"/>
        </w:rPr>
        <w:t>of</w:t>
      </w:r>
      <w:r>
        <w:rPr>
          <w:spacing w:val="-7"/>
          <w:sz w:val="20"/>
        </w:rPr>
        <w:t> </w:t>
      </w:r>
      <w:r>
        <w:rPr>
          <w:sz w:val="20"/>
        </w:rPr>
        <w:t>KRN,</w:t>
      </w:r>
      <w:r>
        <w:rPr>
          <w:spacing w:val="-7"/>
          <w:sz w:val="20"/>
        </w:rPr>
        <w:t> </w:t>
      </w:r>
      <w:r>
        <w:rPr>
          <w:sz w:val="20"/>
        </w:rPr>
        <w:t>without it</w:t>
      </w:r>
      <w:r>
        <w:rPr>
          <w:spacing w:val="44"/>
          <w:sz w:val="20"/>
        </w:rPr>
        <w:t> </w:t>
      </w:r>
      <w:r>
        <w:rPr>
          <w:sz w:val="20"/>
        </w:rPr>
        <w:t>being</w:t>
      </w:r>
      <w:r>
        <w:rPr>
          <w:spacing w:val="45"/>
          <w:sz w:val="20"/>
        </w:rPr>
        <w:t> </w:t>
      </w:r>
      <w:r>
        <w:rPr>
          <w:sz w:val="20"/>
        </w:rPr>
        <w:t>considered</w:t>
      </w:r>
      <w:r>
        <w:rPr>
          <w:spacing w:val="46"/>
          <w:sz w:val="20"/>
        </w:rPr>
        <w:t> </w:t>
      </w:r>
      <w:r>
        <w:rPr>
          <w:sz w:val="20"/>
        </w:rPr>
        <w:t>constructive</w:t>
      </w:r>
      <w:r>
        <w:rPr>
          <w:spacing w:val="45"/>
          <w:sz w:val="20"/>
        </w:rPr>
        <w:t> </w:t>
      </w:r>
      <w:r>
        <w:rPr>
          <w:sz w:val="20"/>
        </w:rPr>
        <w:t>dismissal,</w:t>
      </w:r>
      <w:r>
        <w:rPr>
          <w:spacing w:val="45"/>
          <w:sz w:val="20"/>
        </w:rPr>
        <w:t> </w:t>
      </w:r>
      <w:r>
        <w:rPr>
          <w:sz w:val="20"/>
        </w:rPr>
        <w:t>if</w:t>
      </w:r>
      <w:r>
        <w:rPr>
          <w:spacing w:val="44"/>
          <w:sz w:val="20"/>
        </w:rPr>
        <w:t> </w:t>
      </w:r>
      <w:r>
        <w:rPr>
          <w:sz w:val="20"/>
        </w:rPr>
        <w:t>the</w:t>
      </w:r>
      <w:r>
        <w:rPr>
          <w:spacing w:val="46"/>
          <w:sz w:val="20"/>
        </w:rPr>
        <w:t> </w:t>
      </w:r>
      <w:r>
        <w:rPr>
          <w:sz w:val="20"/>
        </w:rPr>
        <w:t>KRN</w:t>
      </w:r>
      <w:r>
        <w:rPr>
          <w:spacing w:val="45"/>
          <w:sz w:val="20"/>
        </w:rPr>
        <w:t> </w:t>
      </w:r>
      <w:r>
        <w:rPr>
          <w:sz w:val="20"/>
        </w:rPr>
        <w:t>Board</w:t>
      </w:r>
      <w:r>
        <w:rPr>
          <w:spacing w:val="46"/>
          <w:sz w:val="20"/>
        </w:rPr>
        <w:t> </w:t>
      </w:r>
      <w:r>
        <w:rPr>
          <w:sz w:val="20"/>
        </w:rPr>
        <w:t>felt</w:t>
      </w:r>
      <w:r>
        <w:rPr>
          <w:spacing w:val="44"/>
          <w:sz w:val="20"/>
        </w:rPr>
        <w:t> </w:t>
      </w:r>
      <w:r>
        <w:rPr>
          <w:sz w:val="20"/>
        </w:rPr>
        <w:t>that</w:t>
      </w:r>
      <w:r>
        <w:rPr>
          <w:spacing w:val="44"/>
          <w:sz w:val="20"/>
        </w:rPr>
        <w:t> </w:t>
      </w:r>
      <w:r>
        <w:rPr>
          <w:sz w:val="20"/>
        </w:rPr>
        <w:t>the</w:t>
      </w:r>
      <w:r>
        <w:rPr>
          <w:spacing w:val="46"/>
          <w:sz w:val="20"/>
        </w:rPr>
        <w:t> </w:t>
      </w:r>
      <w:r>
        <w:rPr>
          <w:sz w:val="20"/>
        </w:rPr>
        <w:t>CFO</w:t>
      </w:r>
      <w:r>
        <w:rPr>
          <w:spacing w:val="45"/>
          <w:sz w:val="20"/>
        </w:rPr>
        <w:t> </w:t>
      </w:r>
      <w:r>
        <w:rPr>
          <w:sz w:val="20"/>
        </w:rPr>
        <w:t>position</w:t>
      </w:r>
      <w:r>
        <w:rPr>
          <w:spacing w:val="45"/>
          <w:sz w:val="20"/>
        </w:rPr>
        <w:t> </w:t>
      </w:r>
      <w:r>
        <w:rPr>
          <w:sz w:val="20"/>
        </w:rPr>
        <w:t>was</w:t>
      </w:r>
    </w:p>
    <w:p>
      <w:pPr>
        <w:spacing w:after="0" w:line="360" w:lineRule="auto"/>
        <w:jc w:val="both"/>
        <w:rPr>
          <w:sz w:val="20"/>
        </w:rPr>
        <w:sectPr>
          <w:pgSz w:w="12240" w:h="15840"/>
          <w:pgMar w:header="0" w:footer="971" w:top="1220" w:bottom="1160" w:left="1320" w:right="240"/>
        </w:sectPr>
      </w:pPr>
    </w:p>
    <w:p>
      <w:pPr>
        <w:pStyle w:val="BodyText"/>
        <w:spacing w:line="360" w:lineRule="auto" w:before="75"/>
        <w:ind w:left="840" w:right="822"/>
      </w:pPr>
      <w:r>
        <w:rPr/>
        <w:drawing>
          <wp:anchor distT="0" distB="0" distL="0" distR="0" allowOverlap="1" layoutInCell="1" locked="0" behindDoc="0" simplePos="0" relativeHeight="251664384">
            <wp:simplePos x="0" y="0"/>
            <wp:positionH relativeFrom="page">
              <wp:posOffset>6867411</wp:posOffset>
            </wp:positionH>
            <wp:positionV relativeFrom="page">
              <wp:posOffset>9432018</wp:posOffset>
            </wp:positionV>
            <wp:extent cx="657485" cy="555707"/>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1" cstate="print"/>
                    <a:stretch>
                      <a:fillRect/>
                    </a:stretch>
                  </pic:blipFill>
                  <pic:spPr>
                    <a:xfrm>
                      <a:off x="0" y="0"/>
                      <a:ext cx="657485" cy="555707"/>
                    </a:xfrm>
                    <a:prstGeom prst="rect">
                      <a:avLst/>
                    </a:prstGeom>
                  </pic:spPr>
                </pic:pic>
              </a:graphicData>
            </a:graphic>
          </wp:anchor>
        </w:drawing>
      </w:r>
      <w:r>
        <w:rPr/>
        <w:t>becoming too onerous for Favreau. Attached as </w:t>
      </w:r>
      <w:r>
        <w:rPr>
          <w:b/>
        </w:rPr>
        <w:t>Exhibit “EE” </w:t>
      </w:r>
      <w:r>
        <w:rPr/>
        <w:t>to the FDW Affidavit is a copy of Section 3.4 (a) of Favreau’s employment agreement dated December 15, 2017.</w:t>
      </w:r>
    </w:p>
    <w:p>
      <w:pPr>
        <w:pStyle w:val="BodyText"/>
        <w:spacing w:before="10"/>
      </w:pPr>
    </w:p>
    <w:p>
      <w:pPr>
        <w:pStyle w:val="ListParagraph"/>
        <w:numPr>
          <w:ilvl w:val="0"/>
          <w:numId w:val="1"/>
        </w:numPr>
        <w:tabs>
          <w:tab w:pos="840" w:val="left" w:leader="none"/>
        </w:tabs>
        <w:spacing w:line="360" w:lineRule="auto" w:before="0" w:after="0"/>
        <w:ind w:left="839" w:right="1196" w:hanging="720"/>
        <w:jc w:val="both"/>
        <w:rPr>
          <w:sz w:val="20"/>
        </w:rPr>
      </w:pPr>
      <w:r>
        <w:rPr>
          <w:sz w:val="20"/>
        </w:rPr>
        <w:t>In</w:t>
      </w:r>
      <w:r>
        <w:rPr>
          <w:spacing w:val="-10"/>
          <w:sz w:val="20"/>
        </w:rPr>
        <w:t> </w:t>
      </w:r>
      <w:r>
        <w:rPr>
          <w:sz w:val="20"/>
        </w:rPr>
        <w:t>February</w:t>
      </w:r>
      <w:r>
        <w:rPr>
          <w:spacing w:val="-10"/>
          <w:sz w:val="20"/>
        </w:rPr>
        <w:t> </w:t>
      </w:r>
      <w:r>
        <w:rPr>
          <w:sz w:val="20"/>
        </w:rPr>
        <w:t>2020,</w:t>
      </w:r>
      <w:r>
        <w:rPr>
          <w:spacing w:val="-11"/>
          <w:sz w:val="20"/>
        </w:rPr>
        <w:t> </w:t>
      </w:r>
      <w:r>
        <w:rPr>
          <w:sz w:val="20"/>
        </w:rPr>
        <w:t>in</w:t>
      </w:r>
      <w:r>
        <w:rPr>
          <w:spacing w:val="-10"/>
          <w:sz w:val="20"/>
        </w:rPr>
        <w:t> </w:t>
      </w:r>
      <w:r>
        <w:rPr>
          <w:sz w:val="20"/>
        </w:rPr>
        <w:t>a</w:t>
      </w:r>
      <w:r>
        <w:rPr>
          <w:spacing w:val="-9"/>
          <w:sz w:val="20"/>
        </w:rPr>
        <w:t> </w:t>
      </w:r>
      <w:r>
        <w:rPr>
          <w:sz w:val="20"/>
        </w:rPr>
        <w:t>discussion</w:t>
      </w:r>
      <w:r>
        <w:rPr>
          <w:spacing w:val="-10"/>
          <w:sz w:val="20"/>
        </w:rPr>
        <w:t> </w:t>
      </w:r>
      <w:r>
        <w:rPr>
          <w:sz w:val="20"/>
        </w:rPr>
        <w:t>with</w:t>
      </w:r>
      <w:r>
        <w:rPr>
          <w:spacing w:val="-10"/>
          <w:sz w:val="20"/>
        </w:rPr>
        <w:t> </w:t>
      </w:r>
      <w:r>
        <w:rPr>
          <w:sz w:val="20"/>
        </w:rPr>
        <w:t>Favreau,</w:t>
      </w:r>
      <w:r>
        <w:rPr>
          <w:spacing w:val="-11"/>
          <w:sz w:val="20"/>
        </w:rPr>
        <w:t> </w:t>
      </w:r>
      <w:r>
        <w:rPr>
          <w:sz w:val="20"/>
        </w:rPr>
        <w:t>she</w:t>
      </w:r>
      <w:r>
        <w:rPr>
          <w:spacing w:val="-9"/>
          <w:sz w:val="20"/>
        </w:rPr>
        <w:t> </w:t>
      </w:r>
      <w:r>
        <w:rPr>
          <w:sz w:val="20"/>
        </w:rPr>
        <w:t>asked</w:t>
      </w:r>
      <w:r>
        <w:rPr>
          <w:spacing w:val="-10"/>
          <w:sz w:val="20"/>
        </w:rPr>
        <w:t> </w:t>
      </w:r>
      <w:r>
        <w:rPr>
          <w:sz w:val="20"/>
        </w:rPr>
        <w:t>if</w:t>
      </w:r>
      <w:r>
        <w:rPr>
          <w:spacing w:val="-11"/>
          <w:sz w:val="20"/>
        </w:rPr>
        <w:t> </w:t>
      </w:r>
      <w:r>
        <w:rPr>
          <w:sz w:val="20"/>
        </w:rPr>
        <w:t>I</w:t>
      </w:r>
      <w:r>
        <w:rPr>
          <w:spacing w:val="-10"/>
          <w:sz w:val="20"/>
        </w:rPr>
        <w:t> </w:t>
      </w:r>
      <w:r>
        <w:rPr>
          <w:sz w:val="20"/>
        </w:rPr>
        <w:t>had</w:t>
      </w:r>
      <w:r>
        <w:rPr>
          <w:spacing w:val="-10"/>
          <w:sz w:val="20"/>
        </w:rPr>
        <w:t> </w:t>
      </w:r>
      <w:r>
        <w:rPr>
          <w:sz w:val="20"/>
        </w:rPr>
        <w:t>seen</w:t>
      </w:r>
      <w:r>
        <w:rPr>
          <w:spacing w:val="-9"/>
          <w:sz w:val="20"/>
        </w:rPr>
        <w:t> </w:t>
      </w:r>
      <w:r>
        <w:rPr>
          <w:sz w:val="20"/>
        </w:rPr>
        <w:t>her</w:t>
      </w:r>
      <w:r>
        <w:rPr>
          <w:spacing w:val="-10"/>
          <w:sz w:val="20"/>
        </w:rPr>
        <w:t> </w:t>
      </w:r>
      <w:r>
        <w:rPr>
          <w:sz w:val="20"/>
        </w:rPr>
        <w:t>interview</w:t>
      </w:r>
      <w:r>
        <w:rPr>
          <w:spacing w:val="-10"/>
          <w:sz w:val="20"/>
        </w:rPr>
        <w:t> </w:t>
      </w:r>
      <w:r>
        <w:rPr>
          <w:sz w:val="20"/>
        </w:rPr>
        <w:t>with</w:t>
      </w:r>
      <w:r>
        <w:rPr>
          <w:spacing w:val="-10"/>
          <w:sz w:val="20"/>
        </w:rPr>
        <w:t> </w:t>
      </w:r>
      <w:r>
        <w:rPr>
          <w:sz w:val="20"/>
        </w:rPr>
        <w:t>the</w:t>
      </w:r>
      <w:r>
        <w:rPr>
          <w:spacing w:val="-9"/>
          <w:sz w:val="20"/>
        </w:rPr>
        <w:t> </w:t>
      </w:r>
      <w:r>
        <w:rPr>
          <w:sz w:val="20"/>
        </w:rPr>
        <w:t>CBC. I responded no, and she told me it was on CBC and I could go and find it on the internet. She stated to the CBC in the interview that: “</w:t>
      </w:r>
      <w:r>
        <w:rPr>
          <w:i/>
          <w:color w:val="1C1C1C"/>
          <w:sz w:val="20"/>
        </w:rPr>
        <w:t>Generally speaking, men tend to sort of step into roles or </w:t>
      </w:r>
      <w:r>
        <w:rPr>
          <w:i/>
          <w:color w:val="1C1C1C"/>
          <w:sz w:val="20"/>
        </w:rPr>
        <w:t>go</w:t>
      </w:r>
      <w:r>
        <w:rPr>
          <w:i/>
          <w:color w:val="1C1C1C"/>
          <w:spacing w:val="-4"/>
          <w:sz w:val="20"/>
        </w:rPr>
        <w:t> </w:t>
      </w:r>
      <w:r>
        <w:rPr>
          <w:i/>
          <w:color w:val="1C1C1C"/>
          <w:sz w:val="20"/>
        </w:rPr>
        <w:t>after</w:t>
      </w:r>
      <w:r>
        <w:rPr>
          <w:i/>
          <w:color w:val="1C1C1C"/>
          <w:spacing w:val="-4"/>
          <w:sz w:val="20"/>
        </w:rPr>
        <w:t> </w:t>
      </w:r>
      <w:r>
        <w:rPr>
          <w:i/>
          <w:color w:val="1C1C1C"/>
          <w:sz w:val="20"/>
        </w:rPr>
        <w:t>roles</w:t>
      </w:r>
      <w:r>
        <w:rPr>
          <w:i/>
          <w:color w:val="1C1C1C"/>
          <w:spacing w:val="-2"/>
          <w:sz w:val="20"/>
        </w:rPr>
        <w:t> </w:t>
      </w:r>
      <w:r>
        <w:rPr>
          <w:i/>
          <w:color w:val="1C1C1C"/>
          <w:sz w:val="20"/>
        </w:rPr>
        <w:t>that</w:t>
      </w:r>
      <w:r>
        <w:rPr>
          <w:i/>
          <w:color w:val="1C1C1C"/>
          <w:spacing w:val="-5"/>
          <w:sz w:val="20"/>
        </w:rPr>
        <w:t> </w:t>
      </w:r>
      <w:r>
        <w:rPr>
          <w:i/>
          <w:color w:val="1C1C1C"/>
          <w:sz w:val="20"/>
        </w:rPr>
        <w:t>they</w:t>
      </w:r>
      <w:r>
        <w:rPr>
          <w:i/>
          <w:color w:val="1C1C1C"/>
          <w:spacing w:val="-2"/>
          <w:sz w:val="20"/>
        </w:rPr>
        <w:t> </w:t>
      </w:r>
      <w:r>
        <w:rPr>
          <w:i/>
          <w:color w:val="1C1C1C"/>
          <w:sz w:val="20"/>
        </w:rPr>
        <w:t>maybe</w:t>
      </w:r>
      <w:r>
        <w:rPr>
          <w:i/>
          <w:color w:val="1C1C1C"/>
          <w:spacing w:val="-4"/>
          <w:sz w:val="20"/>
        </w:rPr>
        <w:t> </w:t>
      </w:r>
      <w:r>
        <w:rPr>
          <w:i/>
          <w:color w:val="1C1C1C"/>
          <w:sz w:val="20"/>
        </w:rPr>
        <w:t>are</w:t>
      </w:r>
      <w:r>
        <w:rPr>
          <w:i/>
          <w:color w:val="1C1C1C"/>
          <w:spacing w:val="-3"/>
          <w:sz w:val="20"/>
        </w:rPr>
        <w:t> </w:t>
      </w:r>
      <w:r>
        <w:rPr>
          <w:i/>
          <w:color w:val="1C1C1C"/>
          <w:sz w:val="20"/>
        </w:rPr>
        <w:t>uncomfortable</w:t>
      </w:r>
      <w:r>
        <w:rPr>
          <w:i/>
          <w:color w:val="1C1C1C"/>
          <w:spacing w:val="-4"/>
          <w:sz w:val="20"/>
        </w:rPr>
        <w:t> </w:t>
      </w:r>
      <w:r>
        <w:rPr>
          <w:i/>
          <w:color w:val="1C1C1C"/>
          <w:sz w:val="20"/>
        </w:rPr>
        <w:t>with</w:t>
      </w:r>
      <w:r>
        <w:rPr>
          <w:i/>
          <w:color w:val="1C1C1C"/>
          <w:spacing w:val="-4"/>
          <w:sz w:val="20"/>
        </w:rPr>
        <w:t> </w:t>
      </w:r>
      <w:r>
        <w:rPr>
          <w:i/>
          <w:color w:val="1C1C1C"/>
          <w:sz w:val="20"/>
        </w:rPr>
        <w:t>a</w:t>
      </w:r>
      <w:r>
        <w:rPr>
          <w:i/>
          <w:color w:val="1C1C1C"/>
          <w:spacing w:val="-3"/>
          <w:sz w:val="20"/>
        </w:rPr>
        <w:t> </w:t>
      </w:r>
      <w:r>
        <w:rPr>
          <w:i/>
          <w:color w:val="1C1C1C"/>
          <w:sz w:val="20"/>
        </w:rPr>
        <w:t>little</w:t>
      </w:r>
      <w:r>
        <w:rPr>
          <w:i/>
          <w:color w:val="1C1C1C"/>
          <w:spacing w:val="-4"/>
          <w:sz w:val="20"/>
        </w:rPr>
        <w:t> </w:t>
      </w:r>
      <w:r>
        <w:rPr>
          <w:i/>
          <w:color w:val="1C1C1C"/>
          <w:sz w:val="20"/>
        </w:rPr>
        <w:t>bit,"……."They</w:t>
      </w:r>
      <w:r>
        <w:rPr>
          <w:i/>
          <w:color w:val="1C1C1C"/>
          <w:spacing w:val="-2"/>
          <w:sz w:val="20"/>
        </w:rPr>
        <w:t> </w:t>
      </w:r>
      <w:r>
        <w:rPr>
          <w:i/>
          <w:color w:val="1C1C1C"/>
          <w:sz w:val="20"/>
        </w:rPr>
        <w:t>don't</w:t>
      </w:r>
      <w:r>
        <w:rPr>
          <w:i/>
          <w:color w:val="1C1C1C"/>
          <w:spacing w:val="-5"/>
          <w:sz w:val="20"/>
        </w:rPr>
        <w:t> </w:t>
      </w:r>
      <w:r>
        <w:rPr>
          <w:i/>
          <w:color w:val="1C1C1C"/>
          <w:sz w:val="20"/>
        </w:rPr>
        <w:t>know</w:t>
      </w:r>
      <w:r>
        <w:rPr>
          <w:i/>
          <w:color w:val="1C1C1C"/>
          <w:spacing w:val="-3"/>
          <w:sz w:val="20"/>
        </w:rPr>
        <w:t> </w:t>
      </w:r>
      <w:r>
        <w:rPr>
          <w:i/>
          <w:color w:val="1C1C1C"/>
          <w:sz w:val="20"/>
        </w:rPr>
        <w:t>everything they need to know but they just typically have the confidence to just try it and they know they'll figure</w:t>
      </w:r>
      <w:r>
        <w:rPr>
          <w:i/>
          <w:color w:val="1C1C1C"/>
          <w:spacing w:val="-6"/>
          <w:sz w:val="20"/>
        </w:rPr>
        <w:t> </w:t>
      </w:r>
      <w:r>
        <w:rPr>
          <w:i/>
          <w:color w:val="1C1C1C"/>
          <w:sz w:val="20"/>
        </w:rPr>
        <w:t>it</w:t>
      </w:r>
      <w:r>
        <w:rPr>
          <w:i/>
          <w:color w:val="1C1C1C"/>
          <w:spacing w:val="-6"/>
          <w:sz w:val="20"/>
        </w:rPr>
        <w:t> </w:t>
      </w:r>
      <w:r>
        <w:rPr>
          <w:i/>
          <w:color w:val="1C1C1C"/>
          <w:sz w:val="20"/>
        </w:rPr>
        <w:t>out.</w:t>
      </w:r>
      <w:r>
        <w:rPr>
          <w:i/>
          <w:color w:val="1C1C1C"/>
          <w:spacing w:val="-5"/>
          <w:sz w:val="20"/>
        </w:rPr>
        <w:t> </w:t>
      </w:r>
      <w:r>
        <w:rPr>
          <w:i/>
          <w:color w:val="1C1C1C"/>
          <w:sz w:val="20"/>
        </w:rPr>
        <w:t>We're</w:t>
      </w:r>
      <w:r>
        <w:rPr>
          <w:i/>
          <w:color w:val="1C1C1C"/>
          <w:spacing w:val="-5"/>
          <w:sz w:val="20"/>
        </w:rPr>
        <w:t> </w:t>
      </w:r>
      <w:r>
        <w:rPr>
          <w:i/>
          <w:color w:val="1C1C1C"/>
          <w:sz w:val="20"/>
        </w:rPr>
        <w:t>just</w:t>
      </w:r>
      <w:r>
        <w:rPr>
          <w:i/>
          <w:color w:val="1C1C1C"/>
          <w:spacing w:val="-6"/>
          <w:sz w:val="20"/>
        </w:rPr>
        <w:t> </w:t>
      </w:r>
      <w:r>
        <w:rPr>
          <w:i/>
          <w:color w:val="1C1C1C"/>
          <w:sz w:val="20"/>
        </w:rPr>
        <w:t>as</w:t>
      </w:r>
      <w:r>
        <w:rPr>
          <w:i/>
          <w:color w:val="1C1C1C"/>
          <w:spacing w:val="-5"/>
          <w:sz w:val="20"/>
        </w:rPr>
        <w:t> </w:t>
      </w:r>
      <w:r>
        <w:rPr>
          <w:i/>
          <w:color w:val="1C1C1C"/>
          <w:sz w:val="20"/>
        </w:rPr>
        <w:t>capable</w:t>
      </w:r>
      <w:r>
        <w:rPr>
          <w:i/>
          <w:color w:val="1C1C1C"/>
          <w:spacing w:val="-5"/>
          <w:sz w:val="20"/>
        </w:rPr>
        <w:t> </w:t>
      </w:r>
      <w:r>
        <w:rPr>
          <w:i/>
          <w:color w:val="1C1C1C"/>
          <w:sz w:val="20"/>
        </w:rPr>
        <w:t>of</w:t>
      </w:r>
      <w:r>
        <w:rPr>
          <w:i/>
          <w:color w:val="1C1C1C"/>
          <w:spacing w:val="-6"/>
          <w:sz w:val="20"/>
        </w:rPr>
        <w:t> </w:t>
      </w:r>
      <w:r>
        <w:rPr>
          <w:i/>
          <w:color w:val="1C1C1C"/>
          <w:sz w:val="20"/>
        </w:rPr>
        <w:t>doing</w:t>
      </w:r>
      <w:r>
        <w:rPr>
          <w:i/>
          <w:color w:val="1C1C1C"/>
          <w:spacing w:val="-5"/>
          <w:sz w:val="20"/>
        </w:rPr>
        <w:t> </w:t>
      </w:r>
      <w:r>
        <w:rPr>
          <w:i/>
          <w:color w:val="1C1C1C"/>
          <w:sz w:val="20"/>
        </w:rPr>
        <w:t>that</w:t>
      </w:r>
      <w:r>
        <w:rPr>
          <w:i/>
          <w:color w:val="1C1C1C"/>
          <w:spacing w:val="-6"/>
          <w:sz w:val="20"/>
        </w:rPr>
        <w:t> </w:t>
      </w:r>
      <w:r>
        <w:rPr>
          <w:i/>
          <w:color w:val="1C1C1C"/>
          <w:sz w:val="20"/>
        </w:rPr>
        <w:t>too</w:t>
      </w:r>
      <w:r>
        <w:rPr>
          <w:color w:val="1C1C1C"/>
          <w:sz w:val="20"/>
        </w:rPr>
        <w:t>."</w:t>
      </w:r>
      <w:r>
        <w:rPr>
          <w:color w:val="1C1C1C"/>
          <w:spacing w:val="46"/>
          <w:sz w:val="20"/>
        </w:rPr>
        <w:t> </w:t>
      </w:r>
      <w:r>
        <w:rPr>
          <w:sz w:val="20"/>
        </w:rPr>
        <w:t>Attached</w:t>
      </w:r>
      <w:r>
        <w:rPr>
          <w:spacing w:val="-5"/>
          <w:sz w:val="20"/>
        </w:rPr>
        <w:t> </w:t>
      </w:r>
      <w:r>
        <w:rPr>
          <w:sz w:val="20"/>
        </w:rPr>
        <w:t>and</w:t>
      </w:r>
      <w:r>
        <w:rPr>
          <w:spacing w:val="-5"/>
          <w:sz w:val="20"/>
        </w:rPr>
        <w:t> </w:t>
      </w:r>
      <w:r>
        <w:rPr>
          <w:sz w:val="20"/>
        </w:rPr>
        <w:t>marked</w:t>
      </w:r>
      <w:r>
        <w:rPr>
          <w:spacing w:val="-5"/>
          <w:sz w:val="20"/>
        </w:rPr>
        <w:t> </w:t>
      </w:r>
      <w:r>
        <w:rPr>
          <w:sz w:val="20"/>
        </w:rPr>
        <w:t>as</w:t>
      </w:r>
      <w:r>
        <w:rPr>
          <w:spacing w:val="-5"/>
          <w:sz w:val="20"/>
        </w:rPr>
        <w:t> </w:t>
      </w:r>
      <w:r>
        <w:rPr>
          <w:b/>
          <w:sz w:val="20"/>
        </w:rPr>
        <w:t>Exhibit</w:t>
      </w:r>
      <w:r>
        <w:rPr>
          <w:b/>
          <w:spacing w:val="-5"/>
          <w:sz w:val="20"/>
        </w:rPr>
        <w:t> </w:t>
      </w:r>
      <w:r>
        <w:rPr>
          <w:b/>
          <w:sz w:val="20"/>
        </w:rPr>
        <w:t>“VV”</w:t>
      </w:r>
      <w:r>
        <w:rPr>
          <w:b/>
          <w:spacing w:val="-5"/>
          <w:sz w:val="20"/>
        </w:rPr>
        <w:t> </w:t>
      </w:r>
      <w:r>
        <w:rPr>
          <w:sz w:val="20"/>
        </w:rPr>
        <w:t>to</w:t>
      </w:r>
      <w:r>
        <w:rPr>
          <w:spacing w:val="-5"/>
          <w:sz w:val="20"/>
        </w:rPr>
        <w:t> </w:t>
      </w:r>
      <w:r>
        <w:rPr>
          <w:sz w:val="20"/>
        </w:rPr>
        <w:t>the FDW Affidavit is a copy of the</w:t>
      </w:r>
      <w:r>
        <w:rPr>
          <w:spacing w:val="-5"/>
          <w:sz w:val="20"/>
        </w:rPr>
        <w:t> </w:t>
      </w:r>
      <w:r>
        <w:rPr>
          <w:sz w:val="20"/>
        </w:rPr>
        <w:t>interview.</w:t>
      </w:r>
    </w:p>
    <w:p>
      <w:pPr>
        <w:pStyle w:val="BodyText"/>
        <w:spacing w:before="10"/>
      </w:pPr>
    </w:p>
    <w:p>
      <w:pPr>
        <w:pStyle w:val="ListParagraph"/>
        <w:numPr>
          <w:ilvl w:val="0"/>
          <w:numId w:val="1"/>
        </w:numPr>
        <w:tabs>
          <w:tab w:pos="840" w:val="left" w:leader="none"/>
        </w:tabs>
        <w:spacing w:line="360" w:lineRule="auto" w:before="1" w:after="0"/>
        <w:ind w:left="840" w:right="1198" w:hanging="721"/>
        <w:jc w:val="both"/>
        <w:rPr>
          <w:i/>
          <w:color w:val="1C1C1C"/>
          <w:sz w:val="20"/>
        </w:rPr>
      </w:pPr>
      <w:r>
        <w:rPr>
          <w:color w:val="1C1C1C"/>
          <w:sz w:val="20"/>
        </w:rPr>
        <w:t>I</w:t>
      </w:r>
      <w:r>
        <w:rPr>
          <w:color w:val="1C1C1C"/>
          <w:spacing w:val="-11"/>
          <w:sz w:val="20"/>
        </w:rPr>
        <w:t> </w:t>
      </w:r>
      <w:r>
        <w:rPr>
          <w:color w:val="1C1C1C"/>
          <w:sz w:val="20"/>
        </w:rPr>
        <w:t>verily</w:t>
      </w:r>
      <w:r>
        <w:rPr>
          <w:color w:val="1C1C1C"/>
          <w:spacing w:val="-9"/>
          <w:sz w:val="20"/>
        </w:rPr>
        <w:t> </w:t>
      </w:r>
      <w:r>
        <w:rPr>
          <w:color w:val="1C1C1C"/>
          <w:sz w:val="20"/>
        </w:rPr>
        <w:t>believe</w:t>
      </w:r>
      <w:r>
        <w:rPr>
          <w:color w:val="1C1C1C"/>
          <w:spacing w:val="-10"/>
          <w:sz w:val="20"/>
        </w:rPr>
        <w:t> </w:t>
      </w:r>
      <w:r>
        <w:rPr>
          <w:color w:val="1C1C1C"/>
          <w:sz w:val="20"/>
        </w:rPr>
        <w:t>that</w:t>
      </w:r>
      <w:r>
        <w:rPr>
          <w:color w:val="1C1C1C"/>
          <w:spacing w:val="-11"/>
          <w:sz w:val="20"/>
        </w:rPr>
        <w:t> </w:t>
      </w:r>
      <w:r>
        <w:rPr>
          <w:color w:val="1C1C1C"/>
          <w:sz w:val="20"/>
        </w:rPr>
        <w:t>the</w:t>
      </w:r>
      <w:r>
        <w:rPr>
          <w:color w:val="1C1C1C"/>
          <w:spacing w:val="-10"/>
          <w:sz w:val="20"/>
        </w:rPr>
        <w:t> </w:t>
      </w:r>
      <w:r>
        <w:rPr>
          <w:color w:val="1C1C1C"/>
          <w:sz w:val="20"/>
        </w:rPr>
        <w:t>ordinary</w:t>
      </w:r>
      <w:r>
        <w:rPr>
          <w:color w:val="1C1C1C"/>
          <w:spacing w:val="-10"/>
          <w:sz w:val="20"/>
        </w:rPr>
        <w:t> </w:t>
      </w:r>
      <w:r>
        <w:rPr>
          <w:color w:val="1C1C1C"/>
          <w:sz w:val="20"/>
        </w:rPr>
        <w:t>interpretation</w:t>
      </w:r>
      <w:r>
        <w:rPr>
          <w:color w:val="1C1C1C"/>
          <w:spacing w:val="-10"/>
          <w:sz w:val="20"/>
        </w:rPr>
        <w:t> </w:t>
      </w:r>
      <w:r>
        <w:rPr>
          <w:color w:val="1C1C1C"/>
          <w:sz w:val="20"/>
        </w:rPr>
        <w:t>of</w:t>
      </w:r>
      <w:r>
        <w:rPr>
          <w:color w:val="1C1C1C"/>
          <w:spacing w:val="-11"/>
          <w:sz w:val="20"/>
        </w:rPr>
        <w:t> </w:t>
      </w:r>
      <w:r>
        <w:rPr>
          <w:color w:val="1C1C1C"/>
          <w:sz w:val="20"/>
        </w:rPr>
        <w:t>Favreau’s</w:t>
      </w:r>
      <w:r>
        <w:rPr>
          <w:color w:val="1C1C1C"/>
          <w:spacing w:val="-9"/>
          <w:sz w:val="20"/>
        </w:rPr>
        <w:t> </w:t>
      </w:r>
      <w:r>
        <w:rPr>
          <w:color w:val="1C1C1C"/>
          <w:sz w:val="20"/>
        </w:rPr>
        <w:t>comments</w:t>
      </w:r>
      <w:r>
        <w:rPr>
          <w:color w:val="1C1C1C"/>
          <w:spacing w:val="-10"/>
          <w:sz w:val="20"/>
        </w:rPr>
        <w:t> </w:t>
      </w:r>
      <w:r>
        <w:rPr>
          <w:color w:val="1C1C1C"/>
          <w:sz w:val="20"/>
        </w:rPr>
        <w:t>is</w:t>
      </w:r>
      <w:r>
        <w:rPr>
          <w:color w:val="1C1C1C"/>
          <w:spacing w:val="-9"/>
          <w:sz w:val="20"/>
        </w:rPr>
        <w:t> </w:t>
      </w:r>
      <w:r>
        <w:rPr>
          <w:color w:val="1C1C1C"/>
          <w:sz w:val="20"/>
        </w:rPr>
        <w:t>her</w:t>
      </w:r>
      <w:r>
        <w:rPr>
          <w:color w:val="1C1C1C"/>
          <w:spacing w:val="-10"/>
          <w:sz w:val="20"/>
        </w:rPr>
        <w:t> </w:t>
      </w:r>
      <w:r>
        <w:rPr>
          <w:color w:val="1C1C1C"/>
          <w:sz w:val="20"/>
        </w:rPr>
        <w:t>essentially</w:t>
      </w:r>
      <w:r>
        <w:rPr>
          <w:color w:val="1C1C1C"/>
          <w:spacing w:val="-9"/>
          <w:sz w:val="20"/>
        </w:rPr>
        <w:t> </w:t>
      </w:r>
      <w:r>
        <w:rPr>
          <w:color w:val="1C1C1C"/>
          <w:sz w:val="20"/>
        </w:rPr>
        <w:t>saying</w:t>
      </w:r>
      <w:r>
        <w:rPr>
          <w:color w:val="1C1C1C"/>
          <w:spacing w:val="-10"/>
          <w:sz w:val="20"/>
        </w:rPr>
        <w:t> </w:t>
      </w:r>
      <w:r>
        <w:rPr>
          <w:color w:val="1C1C1C"/>
          <w:sz w:val="20"/>
        </w:rPr>
        <w:t>that: “</w:t>
      </w:r>
      <w:r>
        <w:rPr>
          <w:i/>
          <w:color w:val="1C1C1C"/>
          <w:sz w:val="20"/>
        </w:rPr>
        <w:t>I don’t know how to do the job, but I will give it a</w:t>
      </w:r>
      <w:r>
        <w:rPr>
          <w:i/>
          <w:color w:val="1C1C1C"/>
          <w:spacing w:val="-15"/>
          <w:sz w:val="20"/>
        </w:rPr>
        <w:t> </w:t>
      </w:r>
      <w:r>
        <w:rPr>
          <w:i/>
          <w:color w:val="1C1C1C"/>
          <w:sz w:val="20"/>
        </w:rPr>
        <w:t>try.”</w:t>
      </w:r>
    </w:p>
    <w:p>
      <w:pPr>
        <w:pStyle w:val="Heading1"/>
        <w:numPr>
          <w:ilvl w:val="0"/>
          <w:numId w:val="4"/>
        </w:numPr>
        <w:tabs>
          <w:tab w:pos="839" w:val="left" w:leader="none"/>
          <w:tab w:pos="841" w:val="left" w:leader="none"/>
        </w:tabs>
        <w:spacing w:line="240" w:lineRule="auto" w:before="159" w:after="0"/>
        <w:ind w:left="840" w:right="0" w:hanging="721"/>
        <w:jc w:val="left"/>
        <w:rPr>
          <w:u w:val="none"/>
        </w:rPr>
      </w:pPr>
      <w:r>
        <w:rPr>
          <w:u w:val="thick"/>
        </w:rPr>
        <w:t>Favreau‘s Falsified</w:t>
      </w:r>
      <w:r>
        <w:rPr>
          <w:spacing w:val="-3"/>
          <w:u w:val="thick"/>
        </w:rPr>
        <w:t> </w:t>
      </w:r>
      <w:r>
        <w:rPr>
          <w:u w:val="thick"/>
        </w:rPr>
        <w:t>Resume</w:t>
      </w:r>
    </w:p>
    <w:p>
      <w:pPr>
        <w:pStyle w:val="BodyText"/>
        <w:spacing w:before="7"/>
        <w:rPr>
          <w:b/>
          <w:sz w:val="15"/>
        </w:rPr>
      </w:pPr>
    </w:p>
    <w:p>
      <w:pPr>
        <w:pStyle w:val="ListParagraph"/>
        <w:numPr>
          <w:ilvl w:val="0"/>
          <w:numId w:val="1"/>
        </w:numPr>
        <w:tabs>
          <w:tab w:pos="841" w:val="left" w:leader="none"/>
        </w:tabs>
        <w:spacing w:line="360" w:lineRule="auto" w:before="94" w:after="0"/>
        <w:ind w:left="839" w:right="1197" w:hanging="720"/>
        <w:jc w:val="both"/>
        <w:rPr>
          <w:sz w:val="20"/>
        </w:rPr>
      </w:pPr>
      <w:r>
        <w:rPr>
          <w:sz w:val="20"/>
        </w:rPr>
        <w:t>I verily believe that Favreau, the Interim CEO of a Canadian publicly listed company, falsified her resume.</w:t>
      </w:r>
    </w:p>
    <w:p>
      <w:pPr>
        <w:pStyle w:val="ListParagraph"/>
        <w:numPr>
          <w:ilvl w:val="0"/>
          <w:numId w:val="1"/>
        </w:numPr>
        <w:tabs>
          <w:tab w:pos="840" w:val="left" w:leader="none"/>
        </w:tabs>
        <w:spacing w:line="360" w:lineRule="auto" w:before="160" w:after="0"/>
        <w:ind w:left="839" w:right="1197" w:hanging="720"/>
        <w:jc w:val="both"/>
        <w:rPr>
          <w:sz w:val="20"/>
        </w:rPr>
      </w:pPr>
      <w:r>
        <w:rPr>
          <w:sz w:val="20"/>
        </w:rPr>
        <w:t>I verily believe that Favreau falsified, and lied about, her resume as set out in the KRN Circular, where she claims to have “</w:t>
      </w:r>
      <w:r>
        <w:rPr>
          <w:i/>
          <w:sz w:val="20"/>
        </w:rPr>
        <w:t>significant experience in the mining and agricultural sectors, including </w:t>
      </w:r>
      <w:r>
        <w:rPr>
          <w:i/>
          <w:sz w:val="20"/>
        </w:rPr>
        <w:t>the potash industry</w:t>
      </w:r>
      <w:r>
        <w:rPr>
          <w:sz w:val="20"/>
        </w:rPr>
        <w:t>” and that she has “</w:t>
      </w:r>
      <w:r>
        <w:rPr>
          <w:i/>
          <w:sz w:val="20"/>
        </w:rPr>
        <w:t>extensive experience with Canadian publicly listed </w:t>
      </w:r>
      <w:r>
        <w:rPr>
          <w:i/>
          <w:sz w:val="20"/>
        </w:rPr>
        <w:t>companies</w:t>
      </w:r>
      <w:r>
        <w:rPr>
          <w:sz w:val="20"/>
        </w:rPr>
        <w:t>”.</w:t>
      </w:r>
    </w:p>
    <w:p>
      <w:pPr>
        <w:pStyle w:val="ListParagraph"/>
        <w:numPr>
          <w:ilvl w:val="0"/>
          <w:numId w:val="1"/>
        </w:numPr>
        <w:tabs>
          <w:tab w:pos="840" w:val="left" w:leader="none"/>
        </w:tabs>
        <w:spacing w:line="360" w:lineRule="auto" w:before="159" w:after="0"/>
        <w:ind w:left="839" w:right="1197" w:hanging="720"/>
        <w:jc w:val="both"/>
        <w:rPr>
          <w:sz w:val="20"/>
        </w:rPr>
      </w:pPr>
      <w:r>
        <w:rPr>
          <w:sz w:val="20"/>
        </w:rPr>
        <w:t>I</w:t>
      </w:r>
      <w:r>
        <w:rPr>
          <w:spacing w:val="-7"/>
          <w:sz w:val="20"/>
        </w:rPr>
        <w:t> </w:t>
      </w:r>
      <w:r>
        <w:rPr>
          <w:sz w:val="20"/>
        </w:rPr>
        <w:t>verily</w:t>
      </w:r>
      <w:r>
        <w:rPr>
          <w:spacing w:val="-6"/>
          <w:sz w:val="20"/>
        </w:rPr>
        <w:t> </w:t>
      </w:r>
      <w:r>
        <w:rPr>
          <w:sz w:val="20"/>
        </w:rPr>
        <w:t>believe</w:t>
      </w:r>
      <w:r>
        <w:rPr>
          <w:spacing w:val="-6"/>
          <w:sz w:val="20"/>
        </w:rPr>
        <w:t> </w:t>
      </w:r>
      <w:r>
        <w:rPr>
          <w:sz w:val="20"/>
        </w:rPr>
        <w:t>that</w:t>
      </w:r>
      <w:r>
        <w:rPr>
          <w:spacing w:val="-7"/>
          <w:sz w:val="20"/>
        </w:rPr>
        <w:t> </w:t>
      </w:r>
      <w:r>
        <w:rPr>
          <w:sz w:val="20"/>
        </w:rPr>
        <w:t>Favreau’s</w:t>
      </w:r>
      <w:r>
        <w:rPr>
          <w:spacing w:val="-6"/>
          <w:sz w:val="20"/>
        </w:rPr>
        <w:t> </w:t>
      </w:r>
      <w:r>
        <w:rPr>
          <w:sz w:val="20"/>
        </w:rPr>
        <w:t>profile</w:t>
      </w:r>
      <w:r>
        <w:rPr>
          <w:spacing w:val="-6"/>
          <w:sz w:val="20"/>
        </w:rPr>
        <w:t> </w:t>
      </w:r>
      <w:r>
        <w:rPr>
          <w:sz w:val="20"/>
        </w:rPr>
        <w:t>on</w:t>
      </w:r>
      <w:r>
        <w:rPr>
          <w:spacing w:val="-7"/>
          <w:sz w:val="20"/>
        </w:rPr>
        <w:t> </w:t>
      </w:r>
      <w:r>
        <w:rPr>
          <w:sz w:val="20"/>
        </w:rPr>
        <w:t>LinkedIn,</w:t>
      </w:r>
      <w:r>
        <w:rPr>
          <w:spacing w:val="-7"/>
          <w:sz w:val="20"/>
        </w:rPr>
        <w:t> </w:t>
      </w:r>
      <w:r>
        <w:rPr>
          <w:sz w:val="20"/>
        </w:rPr>
        <w:t>her</w:t>
      </w:r>
      <w:r>
        <w:rPr>
          <w:spacing w:val="-6"/>
          <w:sz w:val="20"/>
        </w:rPr>
        <w:t> </w:t>
      </w:r>
      <w:r>
        <w:rPr>
          <w:sz w:val="20"/>
        </w:rPr>
        <w:t>filings</w:t>
      </w:r>
      <w:r>
        <w:rPr>
          <w:spacing w:val="-6"/>
          <w:sz w:val="20"/>
        </w:rPr>
        <w:t> </w:t>
      </w:r>
      <w:r>
        <w:rPr>
          <w:sz w:val="20"/>
        </w:rPr>
        <w:t>on</w:t>
      </w:r>
      <w:r>
        <w:rPr>
          <w:spacing w:val="-6"/>
          <w:sz w:val="20"/>
        </w:rPr>
        <w:t> </w:t>
      </w:r>
      <w:r>
        <w:rPr>
          <w:sz w:val="20"/>
        </w:rPr>
        <w:t>SEDI,</w:t>
      </w:r>
      <w:r>
        <w:rPr>
          <w:spacing w:val="-7"/>
          <w:sz w:val="20"/>
        </w:rPr>
        <w:t> </w:t>
      </w:r>
      <w:r>
        <w:rPr>
          <w:sz w:val="20"/>
        </w:rPr>
        <w:t>and</w:t>
      </w:r>
      <w:r>
        <w:rPr>
          <w:spacing w:val="-6"/>
          <w:sz w:val="20"/>
        </w:rPr>
        <w:t> </w:t>
      </w:r>
      <w:r>
        <w:rPr>
          <w:sz w:val="20"/>
        </w:rPr>
        <w:t>my</w:t>
      </w:r>
      <w:r>
        <w:rPr>
          <w:spacing w:val="-6"/>
          <w:sz w:val="20"/>
        </w:rPr>
        <w:t> </w:t>
      </w:r>
      <w:r>
        <w:rPr>
          <w:sz w:val="20"/>
        </w:rPr>
        <w:t>understanding</w:t>
      </w:r>
      <w:r>
        <w:rPr>
          <w:spacing w:val="-7"/>
          <w:sz w:val="20"/>
        </w:rPr>
        <w:t> </w:t>
      </w:r>
      <w:r>
        <w:rPr>
          <w:sz w:val="20"/>
        </w:rPr>
        <w:t>of</w:t>
      </w:r>
      <w:r>
        <w:rPr>
          <w:spacing w:val="-7"/>
          <w:sz w:val="20"/>
        </w:rPr>
        <w:t> </w:t>
      </w:r>
      <w:r>
        <w:rPr>
          <w:sz w:val="20"/>
        </w:rPr>
        <w:t>her background and experience, do not match her statement in the KRN Circular. Attached and marked</w:t>
      </w:r>
      <w:r>
        <w:rPr>
          <w:spacing w:val="-10"/>
          <w:sz w:val="20"/>
        </w:rPr>
        <w:t> </w:t>
      </w:r>
      <w:r>
        <w:rPr>
          <w:sz w:val="20"/>
        </w:rPr>
        <w:t>as</w:t>
      </w:r>
      <w:r>
        <w:rPr>
          <w:spacing w:val="-8"/>
          <w:sz w:val="20"/>
        </w:rPr>
        <w:t> </w:t>
      </w:r>
      <w:r>
        <w:rPr>
          <w:b/>
          <w:sz w:val="20"/>
        </w:rPr>
        <w:t>Exhibit</w:t>
      </w:r>
      <w:r>
        <w:rPr>
          <w:b/>
          <w:spacing w:val="-8"/>
          <w:sz w:val="20"/>
        </w:rPr>
        <w:t> </w:t>
      </w:r>
      <w:r>
        <w:rPr>
          <w:b/>
          <w:sz w:val="20"/>
        </w:rPr>
        <w:t>“FF”</w:t>
      </w:r>
      <w:r>
        <w:rPr>
          <w:b/>
          <w:spacing w:val="-8"/>
          <w:sz w:val="20"/>
        </w:rPr>
        <w:t> </w:t>
      </w:r>
      <w:r>
        <w:rPr>
          <w:sz w:val="20"/>
        </w:rPr>
        <w:t>to</w:t>
      </w:r>
      <w:r>
        <w:rPr>
          <w:spacing w:val="-9"/>
          <w:sz w:val="20"/>
        </w:rPr>
        <w:t> </w:t>
      </w:r>
      <w:r>
        <w:rPr>
          <w:sz w:val="20"/>
        </w:rPr>
        <w:t>the</w:t>
      </w:r>
      <w:r>
        <w:rPr>
          <w:spacing w:val="-9"/>
          <w:sz w:val="20"/>
        </w:rPr>
        <w:t> </w:t>
      </w:r>
      <w:r>
        <w:rPr>
          <w:sz w:val="20"/>
        </w:rPr>
        <w:t>FDW</w:t>
      </w:r>
      <w:r>
        <w:rPr>
          <w:spacing w:val="-8"/>
          <w:sz w:val="20"/>
        </w:rPr>
        <w:t> </w:t>
      </w:r>
      <w:r>
        <w:rPr>
          <w:sz w:val="20"/>
        </w:rPr>
        <w:t>Affidavit</w:t>
      </w:r>
      <w:r>
        <w:rPr>
          <w:spacing w:val="-9"/>
          <w:sz w:val="20"/>
        </w:rPr>
        <w:t> </w:t>
      </w:r>
      <w:r>
        <w:rPr>
          <w:sz w:val="20"/>
        </w:rPr>
        <w:t>is</w:t>
      </w:r>
      <w:r>
        <w:rPr>
          <w:spacing w:val="-8"/>
          <w:sz w:val="20"/>
        </w:rPr>
        <w:t> </w:t>
      </w:r>
      <w:r>
        <w:rPr>
          <w:sz w:val="20"/>
        </w:rPr>
        <w:t>a</w:t>
      </w:r>
      <w:r>
        <w:rPr>
          <w:spacing w:val="-9"/>
          <w:sz w:val="20"/>
        </w:rPr>
        <w:t> </w:t>
      </w:r>
      <w:r>
        <w:rPr>
          <w:sz w:val="20"/>
        </w:rPr>
        <w:t>copy</w:t>
      </w:r>
      <w:r>
        <w:rPr>
          <w:spacing w:val="-8"/>
          <w:sz w:val="20"/>
        </w:rPr>
        <w:t> </w:t>
      </w:r>
      <w:r>
        <w:rPr>
          <w:sz w:val="20"/>
        </w:rPr>
        <w:t>of</w:t>
      </w:r>
      <w:r>
        <w:rPr>
          <w:spacing w:val="-9"/>
          <w:sz w:val="20"/>
        </w:rPr>
        <w:t> </w:t>
      </w:r>
      <w:r>
        <w:rPr>
          <w:sz w:val="20"/>
        </w:rPr>
        <w:t>Favreau’s</w:t>
      </w:r>
      <w:r>
        <w:rPr>
          <w:spacing w:val="-8"/>
          <w:sz w:val="20"/>
        </w:rPr>
        <w:t> </w:t>
      </w:r>
      <w:r>
        <w:rPr>
          <w:sz w:val="20"/>
        </w:rPr>
        <w:t>LinkedIn</w:t>
      </w:r>
      <w:r>
        <w:rPr>
          <w:spacing w:val="-9"/>
          <w:sz w:val="20"/>
        </w:rPr>
        <w:t> </w:t>
      </w:r>
      <w:r>
        <w:rPr>
          <w:sz w:val="20"/>
        </w:rPr>
        <w:t>profile.</w:t>
      </w:r>
      <w:r>
        <w:rPr>
          <w:spacing w:val="38"/>
          <w:sz w:val="20"/>
        </w:rPr>
        <w:t> </w:t>
      </w:r>
      <w:r>
        <w:rPr>
          <w:sz w:val="20"/>
        </w:rPr>
        <w:t>Attached</w:t>
      </w:r>
      <w:r>
        <w:rPr>
          <w:spacing w:val="-8"/>
          <w:sz w:val="20"/>
        </w:rPr>
        <w:t> </w:t>
      </w:r>
      <w:r>
        <w:rPr>
          <w:sz w:val="20"/>
        </w:rPr>
        <w:t>and marked as </w:t>
      </w:r>
      <w:r>
        <w:rPr>
          <w:b/>
          <w:sz w:val="20"/>
        </w:rPr>
        <w:t>Exhibit “GG” </w:t>
      </w:r>
      <w:r>
        <w:rPr>
          <w:sz w:val="20"/>
        </w:rPr>
        <w:t>to the FDW Affidavit is a copy of Favreau’s filings on</w:t>
      </w:r>
      <w:r>
        <w:rPr>
          <w:spacing w:val="-20"/>
          <w:sz w:val="20"/>
        </w:rPr>
        <w:t> </w:t>
      </w:r>
      <w:r>
        <w:rPr>
          <w:sz w:val="20"/>
        </w:rPr>
        <w:t>SEDI.</w:t>
      </w:r>
    </w:p>
    <w:p>
      <w:pPr>
        <w:pStyle w:val="ListParagraph"/>
        <w:numPr>
          <w:ilvl w:val="0"/>
          <w:numId w:val="1"/>
        </w:numPr>
        <w:tabs>
          <w:tab w:pos="840" w:val="left" w:leader="none"/>
        </w:tabs>
        <w:spacing w:line="360" w:lineRule="auto" w:before="159" w:after="0"/>
        <w:ind w:left="839" w:right="1196" w:hanging="721"/>
        <w:jc w:val="both"/>
        <w:rPr>
          <w:sz w:val="20"/>
        </w:rPr>
      </w:pPr>
      <w:r>
        <w:rPr>
          <w:sz w:val="20"/>
        </w:rPr>
        <w:t>I verily believe that when the Interim CEO of a Canadian public company falsifies and lies on her resume, and claims she has skills, background and experience that is not supported by her own LinkedIn profile, as I verily believe Favreau</w:t>
      </w:r>
      <w:r>
        <w:rPr>
          <w:spacing w:val="-9"/>
          <w:sz w:val="20"/>
        </w:rPr>
        <w:t> </w:t>
      </w:r>
      <w:r>
        <w:rPr>
          <w:sz w:val="20"/>
        </w:rPr>
        <w:t>did:</w:t>
      </w:r>
    </w:p>
    <w:p>
      <w:pPr>
        <w:pStyle w:val="ListParagraph"/>
        <w:numPr>
          <w:ilvl w:val="1"/>
          <w:numId w:val="1"/>
        </w:numPr>
        <w:tabs>
          <w:tab w:pos="1559" w:val="left" w:leader="none"/>
          <w:tab w:pos="1560" w:val="left" w:leader="none"/>
        </w:tabs>
        <w:spacing w:line="352" w:lineRule="auto" w:before="159" w:after="0"/>
        <w:ind w:left="1559" w:right="1198" w:hanging="721"/>
        <w:jc w:val="both"/>
        <w:rPr>
          <w:sz w:val="20"/>
        </w:rPr>
      </w:pPr>
      <w:r>
        <w:rPr>
          <w:sz w:val="20"/>
        </w:rPr>
        <w:t>she is not discharging her legal and fiduciary duties to act honestly and with integrity, and is a clear violation of the KRN Code;</w:t>
      </w:r>
      <w:r>
        <w:rPr>
          <w:spacing w:val="-9"/>
          <w:sz w:val="20"/>
        </w:rPr>
        <w:t> </w:t>
      </w:r>
      <w:r>
        <w:rPr>
          <w:sz w:val="20"/>
        </w:rPr>
        <w:t>and</w:t>
      </w:r>
    </w:p>
    <w:p>
      <w:pPr>
        <w:pStyle w:val="ListParagraph"/>
        <w:numPr>
          <w:ilvl w:val="1"/>
          <w:numId w:val="1"/>
        </w:numPr>
        <w:tabs>
          <w:tab w:pos="1559" w:val="left" w:leader="none"/>
          <w:tab w:pos="1560" w:val="left" w:leader="none"/>
        </w:tabs>
        <w:spacing w:line="350" w:lineRule="auto" w:before="164" w:after="0"/>
        <w:ind w:left="1559" w:right="1199" w:hanging="720"/>
        <w:jc w:val="both"/>
        <w:rPr>
          <w:sz w:val="20"/>
        </w:rPr>
      </w:pPr>
      <w:r>
        <w:rPr>
          <w:sz w:val="20"/>
        </w:rPr>
        <w:t>she lacks any credibility in the Canadian capital markets, which I verily believe, is not in the best interests of all</w:t>
      </w:r>
      <w:r>
        <w:rPr>
          <w:spacing w:val="-5"/>
          <w:sz w:val="20"/>
        </w:rPr>
        <w:t> </w:t>
      </w:r>
      <w:r>
        <w:rPr>
          <w:sz w:val="20"/>
        </w:rPr>
        <w:t>shareholders.</w:t>
      </w:r>
    </w:p>
    <w:p>
      <w:pPr>
        <w:spacing w:after="0" w:line="350" w:lineRule="auto"/>
        <w:jc w:val="both"/>
        <w:rPr>
          <w:sz w:val="20"/>
        </w:rPr>
        <w:sectPr>
          <w:pgSz w:w="12240" w:h="15840"/>
          <w:pgMar w:header="0" w:footer="971" w:top="1220" w:bottom="1160" w:left="1320" w:right="240"/>
        </w:sectPr>
      </w:pPr>
    </w:p>
    <w:p>
      <w:pPr>
        <w:pStyle w:val="Heading1"/>
        <w:spacing w:before="75"/>
        <w:ind w:left="120" w:firstLine="0"/>
        <w:rPr>
          <w:u w:val="none"/>
        </w:rPr>
      </w:pPr>
      <w:r>
        <w:rPr/>
        <w:drawing>
          <wp:anchor distT="0" distB="0" distL="0" distR="0" allowOverlap="1" layoutInCell="1" locked="0" behindDoc="0" simplePos="0" relativeHeight="251665408">
            <wp:simplePos x="0" y="0"/>
            <wp:positionH relativeFrom="page">
              <wp:posOffset>6762280</wp:posOffset>
            </wp:positionH>
            <wp:positionV relativeFrom="page">
              <wp:posOffset>9289328</wp:posOffset>
            </wp:positionV>
            <wp:extent cx="657478" cy="555707"/>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11" cstate="print"/>
                    <a:stretch>
                      <a:fillRect/>
                    </a:stretch>
                  </pic:blipFill>
                  <pic:spPr>
                    <a:xfrm>
                      <a:off x="0" y="0"/>
                      <a:ext cx="657478" cy="555707"/>
                    </a:xfrm>
                    <a:prstGeom prst="rect">
                      <a:avLst/>
                    </a:prstGeom>
                  </pic:spPr>
                </pic:pic>
              </a:graphicData>
            </a:graphic>
          </wp:anchor>
        </w:drawing>
      </w:r>
      <w:r>
        <w:rPr>
          <w:u w:val="none"/>
        </w:rPr>
        <w:t>My Reasonable Expectations – Competent Management</w:t>
      </w:r>
    </w:p>
    <w:p>
      <w:pPr>
        <w:pStyle w:val="BodyText"/>
        <w:spacing w:before="10"/>
        <w:rPr>
          <w:b/>
          <w:sz w:val="30"/>
        </w:rPr>
      </w:pPr>
    </w:p>
    <w:p>
      <w:pPr>
        <w:pStyle w:val="ListParagraph"/>
        <w:numPr>
          <w:ilvl w:val="0"/>
          <w:numId w:val="1"/>
        </w:numPr>
        <w:tabs>
          <w:tab w:pos="841" w:val="left" w:leader="none"/>
        </w:tabs>
        <w:spacing w:line="360" w:lineRule="auto" w:before="0" w:after="0"/>
        <w:ind w:left="840" w:right="1197" w:hanging="721"/>
        <w:jc w:val="both"/>
        <w:rPr>
          <w:sz w:val="20"/>
        </w:rPr>
      </w:pPr>
      <w:r>
        <w:rPr>
          <w:sz w:val="20"/>
        </w:rPr>
        <w:t>My</w:t>
      </w:r>
      <w:r>
        <w:rPr>
          <w:spacing w:val="-12"/>
          <w:sz w:val="20"/>
        </w:rPr>
        <w:t> </w:t>
      </w:r>
      <w:r>
        <w:rPr>
          <w:sz w:val="20"/>
        </w:rPr>
        <w:t>reasonable</w:t>
      </w:r>
      <w:r>
        <w:rPr>
          <w:spacing w:val="-11"/>
          <w:sz w:val="20"/>
        </w:rPr>
        <w:t> </w:t>
      </w:r>
      <w:r>
        <w:rPr>
          <w:sz w:val="20"/>
        </w:rPr>
        <w:t>expectations</w:t>
      </w:r>
      <w:r>
        <w:rPr>
          <w:spacing w:val="-11"/>
          <w:sz w:val="20"/>
        </w:rPr>
        <w:t> </w:t>
      </w:r>
      <w:r>
        <w:rPr>
          <w:sz w:val="20"/>
        </w:rPr>
        <w:t>that</w:t>
      </w:r>
      <w:r>
        <w:rPr>
          <w:spacing w:val="-12"/>
          <w:sz w:val="20"/>
        </w:rPr>
        <w:t> </w:t>
      </w:r>
      <w:r>
        <w:rPr>
          <w:sz w:val="20"/>
        </w:rPr>
        <w:t>the</w:t>
      </w:r>
      <w:r>
        <w:rPr>
          <w:spacing w:val="-11"/>
          <w:sz w:val="20"/>
        </w:rPr>
        <w:t> </w:t>
      </w:r>
      <w:r>
        <w:rPr>
          <w:sz w:val="20"/>
        </w:rPr>
        <w:t>KRN</w:t>
      </w:r>
      <w:r>
        <w:rPr>
          <w:spacing w:val="-11"/>
          <w:sz w:val="20"/>
        </w:rPr>
        <w:t> </w:t>
      </w:r>
      <w:r>
        <w:rPr>
          <w:sz w:val="20"/>
        </w:rPr>
        <w:t>Board</w:t>
      </w:r>
      <w:r>
        <w:rPr>
          <w:spacing w:val="-12"/>
          <w:sz w:val="20"/>
        </w:rPr>
        <w:t> </w:t>
      </w:r>
      <w:r>
        <w:rPr>
          <w:sz w:val="20"/>
        </w:rPr>
        <w:t>would</w:t>
      </w:r>
      <w:r>
        <w:rPr>
          <w:spacing w:val="-11"/>
          <w:sz w:val="20"/>
        </w:rPr>
        <w:t> </w:t>
      </w:r>
      <w:r>
        <w:rPr>
          <w:sz w:val="20"/>
        </w:rPr>
        <w:t>hire</w:t>
      </w:r>
      <w:r>
        <w:rPr>
          <w:spacing w:val="-11"/>
          <w:sz w:val="20"/>
        </w:rPr>
        <w:t> </w:t>
      </w:r>
      <w:r>
        <w:rPr>
          <w:sz w:val="20"/>
        </w:rPr>
        <w:t>competent</w:t>
      </w:r>
      <w:r>
        <w:rPr>
          <w:spacing w:val="-12"/>
          <w:sz w:val="20"/>
        </w:rPr>
        <w:t> </w:t>
      </w:r>
      <w:r>
        <w:rPr>
          <w:sz w:val="20"/>
        </w:rPr>
        <w:t>management</w:t>
      </w:r>
      <w:r>
        <w:rPr>
          <w:spacing w:val="-12"/>
          <w:sz w:val="20"/>
        </w:rPr>
        <w:t> </w:t>
      </w:r>
      <w:r>
        <w:rPr>
          <w:sz w:val="20"/>
        </w:rPr>
        <w:t>with</w:t>
      </w:r>
      <w:r>
        <w:rPr>
          <w:spacing w:val="-11"/>
          <w:sz w:val="20"/>
        </w:rPr>
        <w:t> </w:t>
      </w:r>
      <w:r>
        <w:rPr>
          <w:sz w:val="20"/>
        </w:rPr>
        <w:t>the</w:t>
      </w:r>
      <w:r>
        <w:rPr>
          <w:spacing w:val="-12"/>
          <w:sz w:val="20"/>
        </w:rPr>
        <w:t> </w:t>
      </w:r>
      <w:r>
        <w:rPr>
          <w:sz w:val="20"/>
        </w:rPr>
        <w:t>skills, background and experience to advance the business and affairs of KRN, in accordance with standard Canadian busines practices for Canadian publicly listed</w:t>
      </w:r>
      <w:r>
        <w:rPr>
          <w:spacing w:val="-12"/>
          <w:sz w:val="20"/>
        </w:rPr>
        <w:t> </w:t>
      </w:r>
      <w:r>
        <w:rPr>
          <w:sz w:val="20"/>
        </w:rPr>
        <w:t>companies:</w:t>
      </w:r>
    </w:p>
    <w:p>
      <w:pPr>
        <w:pStyle w:val="BodyText"/>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were met when the KRN Board hired</w:t>
      </w:r>
      <w:r>
        <w:rPr>
          <w:spacing w:val="-7"/>
          <w:sz w:val="20"/>
        </w:rPr>
        <w:t> </w:t>
      </w:r>
      <w:r>
        <w:rPr>
          <w:sz w:val="20"/>
        </w:rPr>
        <w:t>Wheatley;</w:t>
      </w:r>
    </w:p>
    <w:p>
      <w:pPr>
        <w:pStyle w:val="BodyText"/>
        <w:spacing w:before="9"/>
        <w:rPr>
          <w:sz w:val="30"/>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were not met when the KRN Board terminated Wheatley, and hired Favreau;</w:t>
      </w:r>
      <w:r>
        <w:rPr>
          <w:spacing w:val="-15"/>
          <w:sz w:val="20"/>
        </w:rPr>
        <w:t> </w:t>
      </w:r>
      <w:r>
        <w:rPr>
          <w:sz w:val="20"/>
        </w:rPr>
        <w:t>and</w:t>
      </w:r>
    </w:p>
    <w:p>
      <w:pPr>
        <w:pStyle w:val="BodyText"/>
        <w:spacing w:before="7"/>
        <w:rPr>
          <w:sz w:val="30"/>
        </w:rPr>
      </w:pPr>
    </w:p>
    <w:p>
      <w:pPr>
        <w:pStyle w:val="ListParagraph"/>
        <w:numPr>
          <w:ilvl w:val="1"/>
          <w:numId w:val="1"/>
        </w:numPr>
        <w:tabs>
          <w:tab w:pos="1559" w:val="left" w:leader="none"/>
          <w:tab w:pos="1561" w:val="left" w:leader="none"/>
        </w:tabs>
        <w:spacing w:line="240" w:lineRule="auto" w:before="0" w:after="0"/>
        <w:ind w:left="1560" w:right="0" w:hanging="721"/>
        <w:jc w:val="left"/>
        <w:rPr>
          <w:sz w:val="20"/>
        </w:rPr>
      </w:pPr>
      <w:r>
        <w:rPr>
          <w:sz w:val="20"/>
        </w:rPr>
        <w:t>were not met when Favreau falsified, and lied, on her resume in the KRN</w:t>
      </w:r>
      <w:r>
        <w:rPr>
          <w:spacing w:val="-21"/>
          <w:sz w:val="20"/>
        </w:rPr>
        <w:t> </w:t>
      </w:r>
      <w:r>
        <w:rPr>
          <w:sz w:val="20"/>
        </w:rPr>
        <w:t>Circular.</w:t>
      </w:r>
    </w:p>
    <w:p>
      <w:pPr>
        <w:pStyle w:val="BodyText"/>
        <w:spacing w:before="8"/>
        <w:rPr>
          <w:sz w:val="30"/>
        </w:rPr>
      </w:pPr>
    </w:p>
    <w:p>
      <w:pPr>
        <w:pStyle w:val="Heading1"/>
        <w:ind w:left="120" w:firstLine="0"/>
        <w:rPr>
          <w:u w:val="none"/>
        </w:rPr>
      </w:pPr>
      <w:r>
        <w:rPr>
          <w:u w:val="none"/>
        </w:rPr>
        <w:t>Confidentiality - Selective Disclosure of Material, Confidential Information</w:t>
      </w:r>
    </w:p>
    <w:p>
      <w:pPr>
        <w:pStyle w:val="BodyText"/>
        <w:spacing w:before="9"/>
        <w:rPr>
          <w:b/>
          <w:sz w:val="30"/>
        </w:rPr>
      </w:pPr>
    </w:p>
    <w:p>
      <w:pPr>
        <w:pStyle w:val="ListParagraph"/>
        <w:numPr>
          <w:ilvl w:val="0"/>
          <w:numId w:val="5"/>
        </w:numPr>
        <w:tabs>
          <w:tab w:pos="839" w:val="left" w:leader="none"/>
          <w:tab w:pos="841" w:val="left" w:leader="none"/>
        </w:tabs>
        <w:spacing w:line="240" w:lineRule="auto" w:before="1" w:after="0"/>
        <w:ind w:left="840" w:right="0" w:hanging="721"/>
        <w:jc w:val="left"/>
        <w:rPr>
          <w:b/>
          <w:sz w:val="20"/>
        </w:rPr>
      </w:pPr>
      <w:r>
        <w:rPr>
          <w:b/>
          <w:sz w:val="20"/>
          <w:u w:val="thick"/>
        </w:rPr>
        <w:t>Selective</w:t>
      </w:r>
      <w:r>
        <w:rPr>
          <w:b/>
          <w:spacing w:val="-3"/>
          <w:sz w:val="20"/>
          <w:u w:val="thick"/>
        </w:rPr>
        <w:t> </w:t>
      </w:r>
      <w:r>
        <w:rPr>
          <w:b/>
          <w:sz w:val="20"/>
          <w:u w:val="thick"/>
        </w:rPr>
        <w:t>Disclosure</w:t>
      </w:r>
    </w:p>
    <w:p>
      <w:pPr>
        <w:pStyle w:val="BodyText"/>
        <w:spacing w:before="8"/>
        <w:rPr>
          <w:b/>
          <w:sz w:val="22"/>
        </w:rPr>
      </w:pPr>
    </w:p>
    <w:p>
      <w:pPr>
        <w:pStyle w:val="ListParagraph"/>
        <w:numPr>
          <w:ilvl w:val="0"/>
          <w:numId w:val="1"/>
        </w:numPr>
        <w:tabs>
          <w:tab w:pos="841" w:val="left" w:leader="none"/>
        </w:tabs>
        <w:spacing w:line="360" w:lineRule="auto" w:before="94" w:after="0"/>
        <w:ind w:left="840" w:right="1197" w:hanging="721"/>
        <w:jc w:val="both"/>
        <w:rPr>
          <w:sz w:val="20"/>
        </w:rPr>
      </w:pPr>
      <w:r>
        <w:rPr>
          <w:sz w:val="20"/>
        </w:rPr>
        <w:t>In</w:t>
      </w:r>
      <w:r>
        <w:rPr>
          <w:spacing w:val="-5"/>
          <w:sz w:val="20"/>
        </w:rPr>
        <w:t> </w:t>
      </w:r>
      <w:r>
        <w:rPr>
          <w:sz w:val="20"/>
        </w:rPr>
        <w:t>the</w:t>
      </w:r>
      <w:r>
        <w:rPr>
          <w:spacing w:val="-5"/>
          <w:sz w:val="20"/>
        </w:rPr>
        <w:t> </w:t>
      </w:r>
      <w:r>
        <w:rPr>
          <w:sz w:val="20"/>
        </w:rPr>
        <w:t>fall</w:t>
      </w:r>
      <w:r>
        <w:rPr>
          <w:spacing w:val="-4"/>
          <w:sz w:val="20"/>
        </w:rPr>
        <w:t> </w:t>
      </w:r>
      <w:r>
        <w:rPr>
          <w:sz w:val="20"/>
        </w:rPr>
        <w:t>of</w:t>
      </w:r>
      <w:r>
        <w:rPr>
          <w:spacing w:val="-6"/>
          <w:sz w:val="20"/>
        </w:rPr>
        <w:t> </w:t>
      </w:r>
      <w:r>
        <w:rPr>
          <w:sz w:val="20"/>
        </w:rPr>
        <w:t>2019,</w:t>
      </w:r>
      <w:r>
        <w:rPr>
          <w:spacing w:val="-5"/>
          <w:sz w:val="20"/>
        </w:rPr>
        <w:t> </w:t>
      </w:r>
      <w:r>
        <w:rPr>
          <w:sz w:val="20"/>
        </w:rPr>
        <w:t>after</w:t>
      </w:r>
      <w:r>
        <w:rPr>
          <w:spacing w:val="-5"/>
          <w:sz w:val="20"/>
        </w:rPr>
        <w:t> </w:t>
      </w:r>
      <w:r>
        <w:rPr>
          <w:sz w:val="20"/>
        </w:rPr>
        <w:t>Wheatley</w:t>
      </w:r>
      <w:r>
        <w:rPr>
          <w:spacing w:val="-5"/>
          <w:sz w:val="20"/>
        </w:rPr>
        <w:t> </w:t>
      </w:r>
      <w:r>
        <w:rPr>
          <w:sz w:val="20"/>
        </w:rPr>
        <w:t>was</w:t>
      </w:r>
      <w:r>
        <w:rPr>
          <w:spacing w:val="-5"/>
          <w:sz w:val="20"/>
        </w:rPr>
        <w:t> </w:t>
      </w:r>
      <w:r>
        <w:rPr>
          <w:sz w:val="20"/>
        </w:rPr>
        <w:t>terminated,</w:t>
      </w:r>
      <w:r>
        <w:rPr>
          <w:spacing w:val="-5"/>
          <w:sz w:val="20"/>
        </w:rPr>
        <w:t> </w:t>
      </w:r>
      <w:r>
        <w:rPr>
          <w:sz w:val="20"/>
        </w:rPr>
        <w:t>and</w:t>
      </w:r>
      <w:r>
        <w:rPr>
          <w:spacing w:val="-5"/>
          <w:sz w:val="20"/>
        </w:rPr>
        <w:t> </w:t>
      </w:r>
      <w:r>
        <w:rPr>
          <w:sz w:val="20"/>
        </w:rPr>
        <w:t>in</w:t>
      </w:r>
      <w:r>
        <w:rPr>
          <w:spacing w:val="-5"/>
          <w:sz w:val="20"/>
        </w:rPr>
        <w:t> </w:t>
      </w:r>
      <w:r>
        <w:rPr>
          <w:sz w:val="20"/>
        </w:rPr>
        <w:t>early</w:t>
      </w:r>
      <w:r>
        <w:rPr>
          <w:spacing w:val="-5"/>
          <w:sz w:val="20"/>
        </w:rPr>
        <w:t> </w:t>
      </w:r>
      <w:r>
        <w:rPr>
          <w:sz w:val="20"/>
        </w:rPr>
        <w:t>2020,</w:t>
      </w:r>
      <w:r>
        <w:rPr>
          <w:spacing w:val="-6"/>
          <w:sz w:val="20"/>
        </w:rPr>
        <w:t> </w:t>
      </w:r>
      <w:r>
        <w:rPr>
          <w:sz w:val="20"/>
        </w:rPr>
        <w:t>both</w:t>
      </w:r>
      <w:r>
        <w:rPr>
          <w:spacing w:val="-5"/>
          <w:sz w:val="20"/>
        </w:rPr>
        <w:t> </w:t>
      </w:r>
      <w:r>
        <w:rPr>
          <w:sz w:val="20"/>
        </w:rPr>
        <w:t>Varma</w:t>
      </w:r>
      <w:r>
        <w:rPr>
          <w:spacing w:val="-5"/>
          <w:sz w:val="20"/>
        </w:rPr>
        <w:t> </w:t>
      </w:r>
      <w:r>
        <w:rPr>
          <w:sz w:val="20"/>
        </w:rPr>
        <w:t>and</w:t>
      </w:r>
      <w:r>
        <w:rPr>
          <w:spacing w:val="-5"/>
          <w:sz w:val="20"/>
        </w:rPr>
        <w:t> </w:t>
      </w:r>
      <w:r>
        <w:rPr>
          <w:sz w:val="20"/>
        </w:rPr>
        <w:t>Favreau</w:t>
      </w:r>
      <w:r>
        <w:rPr>
          <w:spacing w:val="-5"/>
          <w:sz w:val="20"/>
        </w:rPr>
        <w:t> </w:t>
      </w:r>
      <w:r>
        <w:rPr>
          <w:sz w:val="20"/>
        </w:rPr>
        <w:t>told me</w:t>
      </w:r>
      <w:r>
        <w:rPr>
          <w:spacing w:val="-12"/>
          <w:sz w:val="20"/>
        </w:rPr>
        <w:t> </w:t>
      </w:r>
      <w:r>
        <w:rPr>
          <w:sz w:val="20"/>
        </w:rPr>
        <w:t>in</w:t>
      </w:r>
      <w:r>
        <w:rPr>
          <w:spacing w:val="-12"/>
          <w:sz w:val="20"/>
        </w:rPr>
        <w:t> </w:t>
      </w:r>
      <w:r>
        <w:rPr>
          <w:sz w:val="20"/>
        </w:rPr>
        <w:t>phone</w:t>
      </w:r>
      <w:r>
        <w:rPr>
          <w:spacing w:val="-12"/>
          <w:sz w:val="20"/>
        </w:rPr>
        <w:t> </w:t>
      </w:r>
      <w:r>
        <w:rPr>
          <w:sz w:val="20"/>
        </w:rPr>
        <w:t>calls,</w:t>
      </w:r>
      <w:r>
        <w:rPr>
          <w:spacing w:val="-13"/>
          <w:sz w:val="20"/>
        </w:rPr>
        <w:t> </w:t>
      </w:r>
      <w:r>
        <w:rPr>
          <w:sz w:val="20"/>
        </w:rPr>
        <w:t>on</w:t>
      </w:r>
      <w:r>
        <w:rPr>
          <w:spacing w:val="-11"/>
          <w:sz w:val="20"/>
        </w:rPr>
        <w:t> </w:t>
      </w:r>
      <w:r>
        <w:rPr>
          <w:sz w:val="20"/>
        </w:rPr>
        <w:t>more</w:t>
      </w:r>
      <w:r>
        <w:rPr>
          <w:spacing w:val="-12"/>
          <w:sz w:val="20"/>
        </w:rPr>
        <w:t> </w:t>
      </w:r>
      <w:r>
        <w:rPr>
          <w:sz w:val="20"/>
        </w:rPr>
        <w:t>than</w:t>
      </w:r>
      <w:r>
        <w:rPr>
          <w:spacing w:val="-12"/>
          <w:sz w:val="20"/>
        </w:rPr>
        <w:t> </w:t>
      </w:r>
      <w:r>
        <w:rPr>
          <w:sz w:val="20"/>
        </w:rPr>
        <w:t>one</w:t>
      </w:r>
      <w:r>
        <w:rPr>
          <w:spacing w:val="-12"/>
          <w:sz w:val="20"/>
        </w:rPr>
        <w:t> </w:t>
      </w:r>
      <w:r>
        <w:rPr>
          <w:sz w:val="20"/>
        </w:rPr>
        <w:t>occasion,</w:t>
      </w:r>
      <w:r>
        <w:rPr>
          <w:spacing w:val="-13"/>
          <w:sz w:val="20"/>
        </w:rPr>
        <w:t> </w:t>
      </w:r>
      <w:r>
        <w:rPr>
          <w:sz w:val="20"/>
        </w:rPr>
        <w:t>that</w:t>
      </w:r>
      <w:r>
        <w:rPr>
          <w:spacing w:val="-12"/>
          <w:sz w:val="20"/>
        </w:rPr>
        <w:t> </w:t>
      </w:r>
      <w:r>
        <w:rPr>
          <w:sz w:val="20"/>
        </w:rPr>
        <w:t>GSFC</w:t>
      </w:r>
      <w:r>
        <w:rPr>
          <w:spacing w:val="-12"/>
          <w:sz w:val="20"/>
        </w:rPr>
        <w:t> </w:t>
      </w:r>
      <w:r>
        <w:rPr>
          <w:sz w:val="20"/>
        </w:rPr>
        <w:t>was</w:t>
      </w:r>
      <w:r>
        <w:rPr>
          <w:spacing w:val="-12"/>
          <w:sz w:val="20"/>
        </w:rPr>
        <w:t> </w:t>
      </w:r>
      <w:r>
        <w:rPr>
          <w:sz w:val="20"/>
        </w:rPr>
        <w:t>preparing</w:t>
      </w:r>
      <w:r>
        <w:rPr>
          <w:spacing w:val="-12"/>
          <w:sz w:val="20"/>
        </w:rPr>
        <w:t> </w:t>
      </w:r>
      <w:r>
        <w:rPr>
          <w:sz w:val="20"/>
        </w:rPr>
        <w:t>an</w:t>
      </w:r>
      <w:r>
        <w:rPr>
          <w:spacing w:val="-12"/>
          <w:sz w:val="20"/>
        </w:rPr>
        <w:t> </w:t>
      </w:r>
      <w:r>
        <w:rPr>
          <w:sz w:val="20"/>
        </w:rPr>
        <w:t>in-house</w:t>
      </w:r>
      <w:r>
        <w:rPr>
          <w:spacing w:val="-11"/>
          <w:sz w:val="20"/>
        </w:rPr>
        <w:t> </w:t>
      </w:r>
      <w:r>
        <w:rPr>
          <w:sz w:val="20"/>
        </w:rPr>
        <w:t>pre-feasibility study (the “</w:t>
      </w:r>
      <w:r>
        <w:rPr>
          <w:b/>
          <w:sz w:val="20"/>
        </w:rPr>
        <w:t>Nitrogen Study</w:t>
      </w:r>
      <w:r>
        <w:rPr>
          <w:sz w:val="20"/>
        </w:rPr>
        <w:t>”) on the Nitrogen</w:t>
      </w:r>
      <w:r>
        <w:rPr>
          <w:spacing w:val="-7"/>
          <w:sz w:val="20"/>
        </w:rPr>
        <w:t> </w:t>
      </w:r>
      <w:r>
        <w:rPr>
          <w:sz w:val="20"/>
        </w:rPr>
        <w:t>Project.</w:t>
      </w:r>
    </w:p>
    <w:p>
      <w:pPr>
        <w:pStyle w:val="BodyText"/>
        <w:spacing w:before="10"/>
      </w:pPr>
    </w:p>
    <w:p>
      <w:pPr>
        <w:pStyle w:val="ListParagraph"/>
        <w:numPr>
          <w:ilvl w:val="0"/>
          <w:numId w:val="1"/>
        </w:numPr>
        <w:tabs>
          <w:tab w:pos="840" w:val="left" w:leader="none"/>
        </w:tabs>
        <w:spacing w:line="360" w:lineRule="auto" w:before="0" w:after="0"/>
        <w:ind w:left="839" w:right="1196" w:hanging="720"/>
        <w:jc w:val="both"/>
        <w:rPr>
          <w:sz w:val="20"/>
        </w:rPr>
      </w:pPr>
      <w:r>
        <w:rPr>
          <w:sz w:val="20"/>
        </w:rPr>
        <w:t>The</w:t>
      </w:r>
      <w:r>
        <w:rPr>
          <w:spacing w:val="-11"/>
          <w:sz w:val="20"/>
        </w:rPr>
        <w:t> </w:t>
      </w:r>
      <w:r>
        <w:rPr>
          <w:sz w:val="20"/>
        </w:rPr>
        <w:t>Nitrogen</w:t>
      </w:r>
      <w:r>
        <w:rPr>
          <w:spacing w:val="-10"/>
          <w:sz w:val="20"/>
        </w:rPr>
        <w:t> </w:t>
      </w:r>
      <w:r>
        <w:rPr>
          <w:sz w:val="20"/>
        </w:rPr>
        <w:t>Project</w:t>
      </w:r>
      <w:r>
        <w:rPr>
          <w:spacing w:val="-11"/>
          <w:sz w:val="20"/>
        </w:rPr>
        <w:t> </w:t>
      </w:r>
      <w:r>
        <w:rPr>
          <w:sz w:val="20"/>
        </w:rPr>
        <w:t>was</w:t>
      </w:r>
      <w:r>
        <w:rPr>
          <w:spacing w:val="-10"/>
          <w:sz w:val="20"/>
        </w:rPr>
        <w:t> </w:t>
      </w:r>
      <w:r>
        <w:rPr>
          <w:sz w:val="20"/>
        </w:rPr>
        <w:t>the</w:t>
      </w:r>
      <w:r>
        <w:rPr>
          <w:spacing w:val="-10"/>
          <w:sz w:val="20"/>
        </w:rPr>
        <w:t> </w:t>
      </w:r>
      <w:r>
        <w:rPr>
          <w:sz w:val="20"/>
        </w:rPr>
        <w:t>only</w:t>
      </w:r>
      <w:r>
        <w:rPr>
          <w:spacing w:val="-10"/>
          <w:sz w:val="20"/>
        </w:rPr>
        <w:t> </w:t>
      </w:r>
      <w:r>
        <w:rPr>
          <w:sz w:val="20"/>
        </w:rPr>
        <w:t>active</w:t>
      </w:r>
      <w:r>
        <w:rPr>
          <w:spacing w:val="-11"/>
          <w:sz w:val="20"/>
        </w:rPr>
        <w:t> </w:t>
      </w:r>
      <w:r>
        <w:rPr>
          <w:sz w:val="20"/>
        </w:rPr>
        <w:t>project</w:t>
      </w:r>
      <w:r>
        <w:rPr>
          <w:spacing w:val="-12"/>
          <w:sz w:val="20"/>
        </w:rPr>
        <w:t> </w:t>
      </w:r>
      <w:r>
        <w:rPr>
          <w:sz w:val="20"/>
        </w:rPr>
        <w:t>of</w:t>
      </w:r>
      <w:r>
        <w:rPr>
          <w:spacing w:val="-11"/>
          <w:sz w:val="20"/>
        </w:rPr>
        <w:t> </w:t>
      </w:r>
      <w:r>
        <w:rPr>
          <w:sz w:val="20"/>
        </w:rPr>
        <w:t>KRN</w:t>
      </w:r>
      <w:r>
        <w:rPr>
          <w:spacing w:val="-10"/>
          <w:sz w:val="20"/>
        </w:rPr>
        <w:t> </w:t>
      </w:r>
      <w:r>
        <w:rPr>
          <w:sz w:val="20"/>
        </w:rPr>
        <w:t>in</w:t>
      </w:r>
      <w:r>
        <w:rPr>
          <w:spacing w:val="-10"/>
          <w:sz w:val="20"/>
        </w:rPr>
        <w:t> </w:t>
      </w:r>
      <w:r>
        <w:rPr>
          <w:sz w:val="20"/>
        </w:rPr>
        <w:t>2019,</w:t>
      </w:r>
      <w:r>
        <w:rPr>
          <w:spacing w:val="-11"/>
          <w:sz w:val="20"/>
        </w:rPr>
        <w:t> </w:t>
      </w:r>
      <w:r>
        <w:rPr>
          <w:sz w:val="20"/>
        </w:rPr>
        <w:t>as</w:t>
      </w:r>
      <w:r>
        <w:rPr>
          <w:spacing w:val="-11"/>
          <w:sz w:val="20"/>
        </w:rPr>
        <w:t> </w:t>
      </w:r>
      <w:r>
        <w:rPr>
          <w:sz w:val="20"/>
        </w:rPr>
        <w:t>the</w:t>
      </w:r>
      <w:r>
        <w:rPr>
          <w:spacing w:val="-10"/>
          <w:sz w:val="20"/>
        </w:rPr>
        <w:t> </w:t>
      </w:r>
      <w:r>
        <w:rPr>
          <w:sz w:val="20"/>
        </w:rPr>
        <w:t>Potash</w:t>
      </w:r>
      <w:r>
        <w:rPr>
          <w:spacing w:val="-11"/>
          <w:sz w:val="20"/>
        </w:rPr>
        <w:t> </w:t>
      </w:r>
      <w:r>
        <w:rPr>
          <w:sz w:val="20"/>
        </w:rPr>
        <w:t>Project</w:t>
      </w:r>
      <w:r>
        <w:rPr>
          <w:spacing w:val="-11"/>
          <w:sz w:val="20"/>
        </w:rPr>
        <w:t> </w:t>
      </w:r>
      <w:r>
        <w:rPr>
          <w:sz w:val="20"/>
        </w:rPr>
        <w:t>was</w:t>
      </w:r>
      <w:r>
        <w:rPr>
          <w:spacing w:val="-10"/>
          <w:sz w:val="20"/>
        </w:rPr>
        <w:t> </w:t>
      </w:r>
      <w:r>
        <w:rPr>
          <w:sz w:val="20"/>
        </w:rPr>
        <w:t>on</w:t>
      </w:r>
      <w:r>
        <w:rPr>
          <w:spacing w:val="-11"/>
          <w:sz w:val="20"/>
        </w:rPr>
        <w:t> </w:t>
      </w:r>
      <w:r>
        <w:rPr>
          <w:sz w:val="20"/>
        </w:rPr>
        <w:t>care and maintenance, because it was uneconomic due to prevailing potash prices. I verily believe that a technical study on the Nitrogen Project was material, as it was the only activity KRN was undertaking at the</w:t>
      </w:r>
      <w:r>
        <w:rPr>
          <w:spacing w:val="-4"/>
          <w:sz w:val="20"/>
        </w:rPr>
        <w:t> </w:t>
      </w:r>
      <w:r>
        <w:rPr>
          <w:sz w:val="20"/>
        </w:rPr>
        <w:t>time.</w:t>
      </w:r>
    </w:p>
    <w:p>
      <w:pPr>
        <w:pStyle w:val="BodyText"/>
        <w:spacing w:before="1"/>
        <w:rPr>
          <w:sz w:val="30"/>
        </w:rPr>
      </w:pPr>
    </w:p>
    <w:p>
      <w:pPr>
        <w:pStyle w:val="ListParagraph"/>
        <w:numPr>
          <w:ilvl w:val="0"/>
          <w:numId w:val="1"/>
        </w:numPr>
        <w:tabs>
          <w:tab w:pos="840" w:val="left" w:leader="none"/>
        </w:tabs>
        <w:spacing w:line="360" w:lineRule="auto" w:before="0" w:after="0"/>
        <w:ind w:left="839" w:right="1197" w:hanging="720"/>
        <w:jc w:val="both"/>
        <w:rPr>
          <w:sz w:val="20"/>
        </w:rPr>
      </w:pPr>
      <w:r>
        <w:rPr>
          <w:sz w:val="20"/>
        </w:rPr>
        <w:t>Varma also told me in the fall of 2019 that GSFC would finish the Nitrogen Study by the end of 2019. Varma also told me that GSFC engineers from India had been working in Canada at KRN’s offices on the Nitrogen Study. Varma went on to tell me that “</w:t>
      </w:r>
      <w:r>
        <w:rPr>
          <w:i/>
          <w:sz w:val="20"/>
        </w:rPr>
        <w:t>he felt comfortable telling me this </w:t>
      </w:r>
      <w:r>
        <w:rPr>
          <w:i/>
          <w:sz w:val="20"/>
        </w:rPr>
        <w:t>since I was a large investor and had been on the KRN</w:t>
      </w:r>
      <w:r>
        <w:rPr>
          <w:i/>
          <w:spacing w:val="-16"/>
          <w:sz w:val="20"/>
        </w:rPr>
        <w:t> </w:t>
      </w:r>
      <w:r>
        <w:rPr>
          <w:i/>
          <w:sz w:val="20"/>
        </w:rPr>
        <w:t>Board</w:t>
      </w:r>
      <w:r>
        <w:rPr>
          <w:sz w:val="20"/>
        </w:rPr>
        <w:t>.”</w:t>
      </w:r>
    </w:p>
    <w:p>
      <w:pPr>
        <w:pStyle w:val="BodyText"/>
        <w:rPr>
          <w:sz w:val="30"/>
        </w:rPr>
      </w:pPr>
    </w:p>
    <w:p>
      <w:pPr>
        <w:pStyle w:val="ListParagraph"/>
        <w:numPr>
          <w:ilvl w:val="0"/>
          <w:numId w:val="1"/>
        </w:numPr>
        <w:tabs>
          <w:tab w:pos="840" w:val="left" w:leader="none"/>
        </w:tabs>
        <w:spacing w:line="360" w:lineRule="auto" w:before="0" w:after="0"/>
        <w:ind w:left="839" w:right="1196" w:hanging="721"/>
        <w:jc w:val="both"/>
        <w:rPr>
          <w:sz w:val="20"/>
        </w:rPr>
      </w:pPr>
      <w:r>
        <w:rPr>
          <w:sz w:val="20"/>
        </w:rPr>
        <w:t>I am unable to find any public disclosure by KRN that GSFC was preparing the Nitrogen Study. Therefore, I verily believe that what Varma and Favreau were telling me was material, non-public information.</w:t>
      </w:r>
    </w:p>
    <w:p>
      <w:pPr>
        <w:pStyle w:val="BodyText"/>
        <w:spacing w:before="11"/>
      </w:pPr>
    </w:p>
    <w:p>
      <w:pPr>
        <w:pStyle w:val="ListParagraph"/>
        <w:numPr>
          <w:ilvl w:val="0"/>
          <w:numId w:val="1"/>
        </w:numPr>
        <w:tabs>
          <w:tab w:pos="840" w:val="left" w:leader="none"/>
        </w:tabs>
        <w:spacing w:line="360" w:lineRule="auto" w:before="0" w:after="0"/>
        <w:ind w:left="839" w:right="1198" w:hanging="721"/>
        <w:jc w:val="both"/>
        <w:rPr>
          <w:sz w:val="20"/>
        </w:rPr>
      </w:pPr>
      <w:r>
        <w:rPr>
          <w:sz w:val="20"/>
        </w:rPr>
        <w:t>On November 5, 2019, KRN issued a press release (the “</w:t>
      </w:r>
      <w:r>
        <w:rPr>
          <w:b/>
          <w:sz w:val="20"/>
        </w:rPr>
        <w:t>November Press Release</w:t>
      </w:r>
      <w:r>
        <w:rPr>
          <w:sz w:val="20"/>
        </w:rPr>
        <w:t>”) stating that it had “</w:t>
      </w:r>
      <w:r>
        <w:rPr>
          <w:i/>
          <w:sz w:val="20"/>
        </w:rPr>
        <w:t>begun preparation of the Nitrogen Study</w:t>
      </w:r>
      <w:r>
        <w:rPr>
          <w:sz w:val="20"/>
        </w:rPr>
        <w:t>”, but it did not identify the author of the Nitrogen Study.</w:t>
      </w:r>
      <w:r>
        <w:rPr>
          <w:spacing w:val="33"/>
          <w:sz w:val="20"/>
        </w:rPr>
        <w:t> </w:t>
      </w:r>
      <w:r>
        <w:rPr>
          <w:sz w:val="20"/>
        </w:rPr>
        <w:t>Attached</w:t>
      </w:r>
      <w:r>
        <w:rPr>
          <w:spacing w:val="-10"/>
          <w:sz w:val="20"/>
        </w:rPr>
        <w:t> </w:t>
      </w:r>
      <w:r>
        <w:rPr>
          <w:sz w:val="20"/>
        </w:rPr>
        <w:t>and</w:t>
      </w:r>
      <w:r>
        <w:rPr>
          <w:spacing w:val="-10"/>
          <w:sz w:val="20"/>
        </w:rPr>
        <w:t> </w:t>
      </w:r>
      <w:r>
        <w:rPr>
          <w:sz w:val="20"/>
        </w:rPr>
        <w:t>marked</w:t>
      </w:r>
      <w:r>
        <w:rPr>
          <w:spacing w:val="-11"/>
          <w:sz w:val="20"/>
        </w:rPr>
        <w:t> </w:t>
      </w:r>
      <w:r>
        <w:rPr>
          <w:sz w:val="20"/>
        </w:rPr>
        <w:t>as</w:t>
      </w:r>
      <w:r>
        <w:rPr>
          <w:spacing w:val="-10"/>
          <w:sz w:val="20"/>
        </w:rPr>
        <w:t> </w:t>
      </w:r>
      <w:r>
        <w:rPr>
          <w:b/>
          <w:sz w:val="20"/>
        </w:rPr>
        <w:t>Exhibit</w:t>
      </w:r>
      <w:r>
        <w:rPr>
          <w:b/>
          <w:spacing w:val="-11"/>
          <w:sz w:val="20"/>
        </w:rPr>
        <w:t> </w:t>
      </w:r>
      <w:r>
        <w:rPr>
          <w:b/>
          <w:sz w:val="20"/>
        </w:rPr>
        <w:t>“HH”</w:t>
      </w:r>
      <w:r>
        <w:rPr>
          <w:b/>
          <w:spacing w:val="-10"/>
          <w:sz w:val="20"/>
        </w:rPr>
        <w:t> </w:t>
      </w:r>
      <w:r>
        <w:rPr>
          <w:sz w:val="20"/>
        </w:rPr>
        <w:t>to</w:t>
      </w:r>
      <w:r>
        <w:rPr>
          <w:spacing w:val="-10"/>
          <w:sz w:val="20"/>
        </w:rPr>
        <w:t> </w:t>
      </w:r>
      <w:r>
        <w:rPr>
          <w:sz w:val="20"/>
        </w:rPr>
        <w:t>the</w:t>
      </w:r>
      <w:r>
        <w:rPr>
          <w:spacing w:val="-10"/>
          <w:sz w:val="20"/>
        </w:rPr>
        <w:t> </w:t>
      </w:r>
      <w:r>
        <w:rPr>
          <w:sz w:val="20"/>
        </w:rPr>
        <w:t>FDW</w:t>
      </w:r>
      <w:r>
        <w:rPr>
          <w:spacing w:val="-11"/>
          <w:sz w:val="20"/>
        </w:rPr>
        <w:t> </w:t>
      </w:r>
      <w:r>
        <w:rPr>
          <w:sz w:val="20"/>
        </w:rPr>
        <w:t>Affidavit</w:t>
      </w:r>
      <w:r>
        <w:rPr>
          <w:spacing w:val="-11"/>
          <w:sz w:val="20"/>
        </w:rPr>
        <w:t> </w:t>
      </w:r>
      <w:r>
        <w:rPr>
          <w:sz w:val="20"/>
        </w:rPr>
        <w:t>is</w:t>
      </w:r>
      <w:r>
        <w:rPr>
          <w:spacing w:val="-10"/>
          <w:sz w:val="20"/>
        </w:rPr>
        <w:t> </w:t>
      </w:r>
      <w:r>
        <w:rPr>
          <w:sz w:val="20"/>
        </w:rPr>
        <w:t>a</w:t>
      </w:r>
      <w:r>
        <w:rPr>
          <w:spacing w:val="-10"/>
          <w:sz w:val="20"/>
        </w:rPr>
        <w:t> </w:t>
      </w:r>
      <w:r>
        <w:rPr>
          <w:sz w:val="20"/>
        </w:rPr>
        <w:t>copy</w:t>
      </w:r>
      <w:r>
        <w:rPr>
          <w:spacing w:val="-12"/>
          <w:sz w:val="20"/>
        </w:rPr>
        <w:t> </w:t>
      </w:r>
      <w:r>
        <w:rPr>
          <w:sz w:val="20"/>
        </w:rPr>
        <w:t>of</w:t>
      </w:r>
      <w:r>
        <w:rPr>
          <w:spacing w:val="-11"/>
          <w:sz w:val="20"/>
        </w:rPr>
        <w:t> </w:t>
      </w:r>
      <w:r>
        <w:rPr>
          <w:sz w:val="20"/>
        </w:rPr>
        <w:t>the</w:t>
      </w:r>
      <w:r>
        <w:rPr>
          <w:spacing w:val="-10"/>
          <w:sz w:val="20"/>
        </w:rPr>
        <w:t> </w:t>
      </w:r>
      <w:r>
        <w:rPr>
          <w:sz w:val="20"/>
        </w:rPr>
        <w:t>Karnalyte</w:t>
      </w:r>
      <w:r>
        <w:rPr>
          <w:spacing w:val="-11"/>
          <w:sz w:val="20"/>
        </w:rPr>
        <w:t> </w:t>
      </w:r>
      <w:r>
        <w:rPr>
          <w:sz w:val="20"/>
        </w:rPr>
        <w:t>press release dated November 5,</w:t>
      </w:r>
      <w:r>
        <w:rPr>
          <w:spacing w:val="-7"/>
          <w:sz w:val="20"/>
        </w:rPr>
        <w:t> </w:t>
      </w:r>
      <w:r>
        <w:rPr>
          <w:sz w:val="20"/>
        </w:rPr>
        <w:t>2019.</w:t>
      </w:r>
    </w:p>
    <w:p>
      <w:pPr>
        <w:spacing w:after="0" w:line="360" w:lineRule="auto"/>
        <w:jc w:val="both"/>
        <w:rPr>
          <w:sz w:val="20"/>
        </w:rPr>
        <w:sectPr>
          <w:pgSz w:w="12240" w:h="15840"/>
          <w:pgMar w:header="0" w:footer="971" w:top="1220" w:bottom="1160" w:left="1320" w:right="240"/>
        </w:sectPr>
      </w:pPr>
    </w:p>
    <w:p>
      <w:pPr>
        <w:pStyle w:val="Heading1"/>
        <w:numPr>
          <w:ilvl w:val="0"/>
          <w:numId w:val="5"/>
        </w:numPr>
        <w:tabs>
          <w:tab w:pos="839" w:val="left" w:leader="none"/>
          <w:tab w:pos="841" w:val="left" w:leader="none"/>
        </w:tabs>
        <w:spacing w:line="240" w:lineRule="auto" w:before="75" w:after="0"/>
        <w:ind w:left="840" w:right="0" w:hanging="721"/>
        <w:jc w:val="left"/>
        <w:rPr>
          <w:u w:val="none"/>
        </w:rPr>
      </w:pPr>
      <w:r>
        <w:rPr/>
        <w:drawing>
          <wp:anchor distT="0" distB="0" distL="0" distR="0" allowOverlap="1" layoutInCell="1" locked="0" behindDoc="0" simplePos="0" relativeHeight="251666432">
            <wp:simplePos x="0" y="0"/>
            <wp:positionH relativeFrom="page">
              <wp:posOffset>6874916</wp:posOffset>
            </wp:positionH>
            <wp:positionV relativeFrom="page">
              <wp:posOffset>9462053</wp:posOffset>
            </wp:positionV>
            <wp:extent cx="657484" cy="555707"/>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11" cstate="print"/>
                    <a:stretch>
                      <a:fillRect/>
                    </a:stretch>
                  </pic:blipFill>
                  <pic:spPr>
                    <a:xfrm>
                      <a:off x="0" y="0"/>
                      <a:ext cx="657484" cy="555707"/>
                    </a:xfrm>
                    <a:prstGeom prst="rect">
                      <a:avLst/>
                    </a:prstGeom>
                  </pic:spPr>
                </pic:pic>
              </a:graphicData>
            </a:graphic>
          </wp:anchor>
        </w:drawing>
      </w:r>
      <w:r>
        <w:rPr>
          <w:u w:val="thick"/>
        </w:rPr>
        <w:t>Misrepresentation of Author of Nitrogen</w:t>
      </w:r>
      <w:r>
        <w:rPr>
          <w:spacing w:val="-4"/>
          <w:u w:val="thick"/>
        </w:rPr>
        <w:t> </w:t>
      </w:r>
      <w:r>
        <w:rPr>
          <w:u w:val="thick"/>
        </w:rPr>
        <w:t>Study</w:t>
      </w:r>
    </w:p>
    <w:p>
      <w:pPr>
        <w:pStyle w:val="BodyText"/>
        <w:rPr>
          <w:b/>
        </w:rPr>
      </w:pPr>
    </w:p>
    <w:p>
      <w:pPr>
        <w:pStyle w:val="BodyText"/>
        <w:rPr>
          <w:b/>
        </w:rPr>
      </w:pPr>
    </w:p>
    <w:p>
      <w:pPr>
        <w:pStyle w:val="ListParagraph"/>
        <w:numPr>
          <w:ilvl w:val="0"/>
          <w:numId w:val="1"/>
        </w:numPr>
        <w:tabs>
          <w:tab w:pos="841" w:val="left" w:leader="none"/>
        </w:tabs>
        <w:spacing w:line="360" w:lineRule="auto" w:before="0" w:after="0"/>
        <w:ind w:left="840" w:right="1196" w:hanging="721"/>
        <w:jc w:val="both"/>
        <w:rPr>
          <w:sz w:val="20"/>
        </w:rPr>
      </w:pPr>
      <w:r>
        <w:rPr>
          <w:sz w:val="20"/>
        </w:rPr>
        <w:t>On</w:t>
      </w:r>
      <w:r>
        <w:rPr>
          <w:spacing w:val="-10"/>
          <w:sz w:val="20"/>
        </w:rPr>
        <w:t> </w:t>
      </w:r>
      <w:r>
        <w:rPr>
          <w:sz w:val="20"/>
        </w:rPr>
        <w:t>July</w:t>
      </w:r>
      <w:r>
        <w:rPr>
          <w:spacing w:val="-8"/>
          <w:sz w:val="20"/>
        </w:rPr>
        <w:t> </w:t>
      </w:r>
      <w:r>
        <w:rPr>
          <w:sz w:val="20"/>
        </w:rPr>
        <w:t>21,</w:t>
      </w:r>
      <w:r>
        <w:rPr>
          <w:spacing w:val="-10"/>
          <w:sz w:val="20"/>
        </w:rPr>
        <w:t> </w:t>
      </w:r>
      <w:r>
        <w:rPr>
          <w:sz w:val="20"/>
        </w:rPr>
        <w:t>2020,</w:t>
      </w:r>
      <w:r>
        <w:rPr>
          <w:spacing w:val="-10"/>
          <w:sz w:val="20"/>
        </w:rPr>
        <w:t> </w:t>
      </w:r>
      <w:r>
        <w:rPr>
          <w:sz w:val="20"/>
        </w:rPr>
        <w:t>more</w:t>
      </w:r>
      <w:r>
        <w:rPr>
          <w:spacing w:val="-9"/>
          <w:sz w:val="20"/>
        </w:rPr>
        <w:t> </w:t>
      </w:r>
      <w:r>
        <w:rPr>
          <w:sz w:val="20"/>
        </w:rPr>
        <w:t>than</w:t>
      </w:r>
      <w:r>
        <w:rPr>
          <w:spacing w:val="-9"/>
          <w:sz w:val="20"/>
        </w:rPr>
        <w:t> </w:t>
      </w:r>
      <w:r>
        <w:rPr>
          <w:sz w:val="20"/>
        </w:rPr>
        <w:t>six</w:t>
      </w:r>
      <w:r>
        <w:rPr>
          <w:spacing w:val="-9"/>
          <w:sz w:val="20"/>
        </w:rPr>
        <w:t> </w:t>
      </w:r>
      <w:r>
        <w:rPr>
          <w:sz w:val="20"/>
        </w:rPr>
        <w:t>(6)</w:t>
      </w:r>
      <w:r>
        <w:rPr>
          <w:spacing w:val="-9"/>
          <w:sz w:val="20"/>
        </w:rPr>
        <w:t> </w:t>
      </w:r>
      <w:r>
        <w:rPr>
          <w:sz w:val="20"/>
        </w:rPr>
        <w:t>months</w:t>
      </w:r>
      <w:r>
        <w:rPr>
          <w:spacing w:val="-8"/>
          <w:sz w:val="20"/>
        </w:rPr>
        <w:t> </w:t>
      </w:r>
      <w:r>
        <w:rPr>
          <w:sz w:val="20"/>
        </w:rPr>
        <w:t>after</w:t>
      </w:r>
      <w:r>
        <w:rPr>
          <w:spacing w:val="-10"/>
          <w:sz w:val="20"/>
        </w:rPr>
        <w:t> </w:t>
      </w:r>
      <w:r>
        <w:rPr>
          <w:sz w:val="20"/>
        </w:rPr>
        <w:t>Varma</w:t>
      </w:r>
      <w:r>
        <w:rPr>
          <w:spacing w:val="-9"/>
          <w:sz w:val="20"/>
        </w:rPr>
        <w:t> </w:t>
      </w:r>
      <w:r>
        <w:rPr>
          <w:sz w:val="20"/>
        </w:rPr>
        <w:t>told</w:t>
      </w:r>
      <w:r>
        <w:rPr>
          <w:spacing w:val="-9"/>
          <w:sz w:val="20"/>
        </w:rPr>
        <w:t> </w:t>
      </w:r>
      <w:r>
        <w:rPr>
          <w:sz w:val="20"/>
        </w:rPr>
        <w:t>me</w:t>
      </w:r>
      <w:r>
        <w:rPr>
          <w:spacing w:val="-9"/>
          <w:sz w:val="20"/>
        </w:rPr>
        <w:t> </w:t>
      </w:r>
      <w:r>
        <w:rPr>
          <w:sz w:val="20"/>
        </w:rPr>
        <w:t>the</w:t>
      </w:r>
      <w:r>
        <w:rPr>
          <w:spacing w:val="-11"/>
          <w:sz w:val="20"/>
        </w:rPr>
        <w:t> </w:t>
      </w:r>
      <w:r>
        <w:rPr>
          <w:sz w:val="20"/>
        </w:rPr>
        <w:t>Nitrogen</w:t>
      </w:r>
      <w:r>
        <w:rPr>
          <w:spacing w:val="-9"/>
          <w:sz w:val="20"/>
        </w:rPr>
        <w:t> </w:t>
      </w:r>
      <w:r>
        <w:rPr>
          <w:sz w:val="20"/>
        </w:rPr>
        <w:t>Study</w:t>
      </w:r>
      <w:r>
        <w:rPr>
          <w:spacing w:val="-8"/>
          <w:sz w:val="20"/>
        </w:rPr>
        <w:t> </w:t>
      </w:r>
      <w:r>
        <w:rPr>
          <w:sz w:val="20"/>
        </w:rPr>
        <w:t>was</w:t>
      </w:r>
      <w:r>
        <w:rPr>
          <w:spacing w:val="-9"/>
          <w:sz w:val="20"/>
        </w:rPr>
        <w:t> </w:t>
      </w:r>
      <w:r>
        <w:rPr>
          <w:sz w:val="20"/>
        </w:rPr>
        <w:t>essentially complete,</w:t>
      </w:r>
      <w:r>
        <w:rPr>
          <w:spacing w:val="-13"/>
          <w:sz w:val="20"/>
        </w:rPr>
        <w:t> </w:t>
      </w:r>
      <w:r>
        <w:rPr>
          <w:sz w:val="20"/>
        </w:rPr>
        <w:t>KRN</w:t>
      </w:r>
      <w:r>
        <w:rPr>
          <w:spacing w:val="-11"/>
          <w:sz w:val="20"/>
        </w:rPr>
        <w:t> </w:t>
      </w:r>
      <w:r>
        <w:rPr>
          <w:sz w:val="20"/>
        </w:rPr>
        <w:t>issued</w:t>
      </w:r>
      <w:r>
        <w:rPr>
          <w:spacing w:val="-12"/>
          <w:sz w:val="20"/>
        </w:rPr>
        <w:t> </w:t>
      </w:r>
      <w:r>
        <w:rPr>
          <w:sz w:val="20"/>
        </w:rPr>
        <w:t>a</w:t>
      </w:r>
      <w:r>
        <w:rPr>
          <w:spacing w:val="-11"/>
          <w:sz w:val="20"/>
        </w:rPr>
        <w:t> </w:t>
      </w:r>
      <w:r>
        <w:rPr>
          <w:sz w:val="20"/>
        </w:rPr>
        <w:t>press</w:t>
      </w:r>
      <w:r>
        <w:rPr>
          <w:spacing w:val="-12"/>
          <w:sz w:val="20"/>
        </w:rPr>
        <w:t> </w:t>
      </w:r>
      <w:r>
        <w:rPr>
          <w:sz w:val="20"/>
        </w:rPr>
        <w:t>release</w:t>
      </w:r>
      <w:r>
        <w:rPr>
          <w:spacing w:val="-11"/>
          <w:sz w:val="20"/>
        </w:rPr>
        <w:t> </w:t>
      </w:r>
      <w:r>
        <w:rPr>
          <w:sz w:val="20"/>
        </w:rPr>
        <w:t>(the</w:t>
      </w:r>
      <w:r>
        <w:rPr>
          <w:spacing w:val="-12"/>
          <w:sz w:val="20"/>
        </w:rPr>
        <w:t> </w:t>
      </w:r>
      <w:r>
        <w:rPr>
          <w:sz w:val="20"/>
        </w:rPr>
        <w:t>“</w:t>
      </w:r>
      <w:r>
        <w:rPr>
          <w:b/>
          <w:sz w:val="20"/>
        </w:rPr>
        <w:t>Study</w:t>
      </w:r>
      <w:r>
        <w:rPr>
          <w:b/>
          <w:spacing w:val="-11"/>
          <w:sz w:val="20"/>
        </w:rPr>
        <w:t> </w:t>
      </w:r>
      <w:r>
        <w:rPr>
          <w:b/>
          <w:sz w:val="20"/>
        </w:rPr>
        <w:t>Press</w:t>
      </w:r>
      <w:r>
        <w:rPr>
          <w:b/>
          <w:spacing w:val="-12"/>
          <w:sz w:val="20"/>
        </w:rPr>
        <w:t> </w:t>
      </w:r>
      <w:r>
        <w:rPr>
          <w:b/>
          <w:sz w:val="20"/>
        </w:rPr>
        <w:t>Release</w:t>
      </w:r>
      <w:r>
        <w:rPr>
          <w:sz w:val="20"/>
        </w:rPr>
        <w:t>”)</w:t>
      </w:r>
      <w:r>
        <w:rPr>
          <w:spacing w:val="-11"/>
          <w:sz w:val="20"/>
        </w:rPr>
        <w:t> </w:t>
      </w:r>
      <w:r>
        <w:rPr>
          <w:sz w:val="20"/>
        </w:rPr>
        <w:t>stating</w:t>
      </w:r>
      <w:r>
        <w:rPr>
          <w:spacing w:val="-12"/>
          <w:sz w:val="20"/>
        </w:rPr>
        <w:t> </w:t>
      </w:r>
      <w:r>
        <w:rPr>
          <w:sz w:val="20"/>
        </w:rPr>
        <w:t>that</w:t>
      </w:r>
      <w:r>
        <w:rPr>
          <w:spacing w:val="-12"/>
          <w:sz w:val="20"/>
        </w:rPr>
        <w:t> </w:t>
      </w:r>
      <w:r>
        <w:rPr>
          <w:sz w:val="20"/>
        </w:rPr>
        <w:t>the</w:t>
      </w:r>
      <w:r>
        <w:rPr>
          <w:spacing w:val="-12"/>
          <w:sz w:val="20"/>
        </w:rPr>
        <w:t> </w:t>
      </w:r>
      <w:r>
        <w:rPr>
          <w:sz w:val="20"/>
        </w:rPr>
        <w:t>Nitrogen</w:t>
      </w:r>
      <w:r>
        <w:rPr>
          <w:spacing w:val="-11"/>
          <w:sz w:val="20"/>
        </w:rPr>
        <w:t> </w:t>
      </w:r>
      <w:r>
        <w:rPr>
          <w:sz w:val="20"/>
        </w:rPr>
        <w:t>Study had been completed, that GSFC had initiated the Nitrogen Study, however, KRN had completed the Nitrogen Study. Attached and marked as </w:t>
      </w:r>
      <w:r>
        <w:rPr>
          <w:b/>
          <w:sz w:val="20"/>
        </w:rPr>
        <w:t>Exhibit “II” </w:t>
      </w:r>
      <w:r>
        <w:rPr>
          <w:sz w:val="20"/>
        </w:rPr>
        <w:t>to the FDW Affidavit is a copy of the Karnalyte press release dated July 21,</w:t>
      </w:r>
      <w:r>
        <w:rPr>
          <w:spacing w:val="-6"/>
          <w:sz w:val="20"/>
        </w:rPr>
        <w:t> </w:t>
      </w:r>
      <w:r>
        <w:rPr>
          <w:sz w:val="20"/>
        </w:rPr>
        <w:t>2020.</w:t>
      </w:r>
    </w:p>
    <w:p>
      <w:pPr>
        <w:pStyle w:val="BodyText"/>
        <w:spacing w:before="1"/>
      </w:pPr>
    </w:p>
    <w:p>
      <w:pPr>
        <w:pStyle w:val="ListParagraph"/>
        <w:numPr>
          <w:ilvl w:val="0"/>
          <w:numId w:val="1"/>
        </w:numPr>
        <w:tabs>
          <w:tab w:pos="841" w:val="left" w:leader="none"/>
        </w:tabs>
        <w:spacing w:line="360" w:lineRule="auto" w:before="0" w:after="0"/>
        <w:ind w:left="840" w:right="1196" w:hanging="721"/>
        <w:jc w:val="both"/>
        <w:rPr>
          <w:sz w:val="20"/>
        </w:rPr>
      </w:pPr>
      <w:r>
        <w:rPr>
          <w:sz w:val="20"/>
        </w:rPr>
        <w:t>I</w:t>
      </w:r>
      <w:r>
        <w:rPr>
          <w:spacing w:val="-15"/>
          <w:sz w:val="20"/>
        </w:rPr>
        <w:t> </w:t>
      </w:r>
      <w:r>
        <w:rPr>
          <w:sz w:val="20"/>
        </w:rPr>
        <w:t>verily</w:t>
      </w:r>
      <w:r>
        <w:rPr>
          <w:spacing w:val="-13"/>
          <w:sz w:val="20"/>
        </w:rPr>
        <w:t> </w:t>
      </w:r>
      <w:r>
        <w:rPr>
          <w:sz w:val="20"/>
        </w:rPr>
        <w:t>believe</w:t>
      </w:r>
      <w:r>
        <w:rPr>
          <w:spacing w:val="-13"/>
          <w:sz w:val="20"/>
        </w:rPr>
        <w:t> </w:t>
      </w:r>
      <w:r>
        <w:rPr>
          <w:sz w:val="20"/>
        </w:rPr>
        <w:t>that</w:t>
      </w:r>
      <w:r>
        <w:rPr>
          <w:spacing w:val="-14"/>
          <w:sz w:val="20"/>
        </w:rPr>
        <w:t> </w:t>
      </w:r>
      <w:r>
        <w:rPr>
          <w:sz w:val="20"/>
        </w:rPr>
        <w:t>KRN,</w:t>
      </w:r>
      <w:r>
        <w:rPr>
          <w:spacing w:val="-14"/>
          <w:sz w:val="20"/>
        </w:rPr>
        <w:t> </w:t>
      </w:r>
      <w:r>
        <w:rPr>
          <w:sz w:val="20"/>
        </w:rPr>
        <w:t>Varma</w:t>
      </w:r>
      <w:r>
        <w:rPr>
          <w:spacing w:val="-13"/>
          <w:sz w:val="20"/>
        </w:rPr>
        <w:t> </w:t>
      </w:r>
      <w:r>
        <w:rPr>
          <w:sz w:val="20"/>
        </w:rPr>
        <w:t>and</w:t>
      </w:r>
      <w:r>
        <w:rPr>
          <w:spacing w:val="-14"/>
          <w:sz w:val="20"/>
        </w:rPr>
        <w:t> </w:t>
      </w:r>
      <w:r>
        <w:rPr>
          <w:sz w:val="20"/>
        </w:rPr>
        <w:t>Favreau</w:t>
      </w:r>
      <w:r>
        <w:rPr>
          <w:spacing w:val="-15"/>
          <w:sz w:val="20"/>
        </w:rPr>
        <w:t> </w:t>
      </w:r>
      <w:r>
        <w:rPr>
          <w:sz w:val="20"/>
        </w:rPr>
        <w:t>are</w:t>
      </w:r>
      <w:r>
        <w:rPr>
          <w:spacing w:val="-13"/>
          <w:sz w:val="20"/>
        </w:rPr>
        <w:t> </w:t>
      </w:r>
      <w:r>
        <w:rPr>
          <w:sz w:val="20"/>
        </w:rPr>
        <w:t>intentionally</w:t>
      </w:r>
      <w:r>
        <w:rPr>
          <w:spacing w:val="-13"/>
          <w:sz w:val="20"/>
        </w:rPr>
        <w:t> </w:t>
      </w:r>
      <w:r>
        <w:rPr>
          <w:sz w:val="20"/>
        </w:rPr>
        <w:t>misleading</w:t>
      </w:r>
      <w:r>
        <w:rPr>
          <w:spacing w:val="-14"/>
          <w:sz w:val="20"/>
        </w:rPr>
        <w:t> </w:t>
      </w:r>
      <w:r>
        <w:rPr>
          <w:sz w:val="20"/>
        </w:rPr>
        <w:t>and</w:t>
      </w:r>
      <w:r>
        <w:rPr>
          <w:spacing w:val="-13"/>
          <w:sz w:val="20"/>
        </w:rPr>
        <w:t> </w:t>
      </w:r>
      <w:r>
        <w:rPr>
          <w:sz w:val="20"/>
        </w:rPr>
        <w:t>lying</w:t>
      </w:r>
      <w:r>
        <w:rPr>
          <w:spacing w:val="-14"/>
          <w:sz w:val="20"/>
        </w:rPr>
        <w:t> </w:t>
      </w:r>
      <w:r>
        <w:rPr>
          <w:sz w:val="20"/>
        </w:rPr>
        <w:t>to</w:t>
      </w:r>
      <w:r>
        <w:rPr>
          <w:spacing w:val="-13"/>
          <w:sz w:val="20"/>
        </w:rPr>
        <w:t> </w:t>
      </w:r>
      <w:r>
        <w:rPr>
          <w:sz w:val="20"/>
        </w:rPr>
        <w:t>the</w:t>
      </w:r>
      <w:r>
        <w:rPr>
          <w:spacing w:val="-13"/>
          <w:sz w:val="20"/>
        </w:rPr>
        <w:t> </w:t>
      </w:r>
      <w:r>
        <w:rPr>
          <w:sz w:val="20"/>
        </w:rPr>
        <w:t>Canadian capital markets and the KRN Shareholders regarding the true author of the Nitrogen Study. Both Varma and Favreau told me that GSFC was the author of the Nitrogen Study, yet the Study Press Release states that KRN is the author of the Nitrogen</w:t>
      </w:r>
      <w:r>
        <w:rPr>
          <w:spacing w:val="-11"/>
          <w:sz w:val="20"/>
        </w:rPr>
        <w:t> </w:t>
      </w:r>
      <w:r>
        <w:rPr>
          <w:sz w:val="20"/>
        </w:rPr>
        <w:t>Study.</w:t>
      </w:r>
    </w:p>
    <w:p>
      <w:pPr>
        <w:pStyle w:val="BodyText"/>
        <w:rPr>
          <w:sz w:val="30"/>
        </w:rPr>
      </w:pPr>
    </w:p>
    <w:p>
      <w:pPr>
        <w:pStyle w:val="ListParagraph"/>
        <w:numPr>
          <w:ilvl w:val="0"/>
          <w:numId w:val="1"/>
        </w:numPr>
        <w:tabs>
          <w:tab w:pos="841" w:val="left" w:leader="none"/>
        </w:tabs>
        <w:spacing w:line="360" w:lineRule="auto" w:before="0" w:after="0"/>
        <w:ind w:left="840" w:right="1196" w:hanging="720"/>
        <w:jc w:val="both"/>
        <w:rPr>
          <w:i/>
          <w:sz w:val="20"/>
        </w:rPr>
      </w:pPr>
      <w:r>
        <w:rPr>
          <w:sz w:val="20"/>
        </w:rPr>
        <w:t>I am advised by Rowan, and verily believe, that he received a draft version of the Nitrogen Study in November 2019, and that it indicated on the front page that it was “</w:t>
      </w:r>
      <w:r>
        <w:rPr>
          <w:i/>
          <w:sz w:val="20"/>
        </w:rPr>
        <w:t>Prepared and Issued by </w:t>
      </w:r>
      <w:r>
        <w:rPr>
          <w:i/>
          <w:sz w:val="20"/>
        </w:rPr>
        <w:t>Gjuarat State Fertilzers and Chemical Limited, Vadodara, 30</w:t>
      </w:r>
      <w:r>
        <w:rPr>
          <w:i/>
          <w:sz w:val="20"/>
          <w:vertAlign w:val="superscript"/>
        </w:rPr>
        <w:t>th</w:t>
      </w:r>
      <w:r>
        <w:rPr>
          <w:i/>
          <w:sz w:val="20"/>
          <w:vertAlign w:val="baseline"/>
        </w:rPr>
        <w:t> November</w:t>
      </w:r>
      <w:r>
        <w:rPr>
          <w:i/>
          <w:spacing w:val="-11"/>
          <w:sz w:val="20"/>
          <w:vertAlign w:val="baseline"/>
        </w:rPr>
        <w:t> </w:t>
      </w:r>
      <w:r>
        <w:rPr>
          <w:i/>
          <w:sz w:val="20"/>
          <w:vertAlign w:val="baseline"/>
        </w:rPr>
        <w:t>2019”.</w:t>
      </w:r>
    </w:p>
    <w:p>
      <w:pPr>
        <w:pStyle w:val="BodyText"/>
        <w:spacing w:before="10"/>
        <w:rPr>
          <w:i/>
          <w:sz w:val="29"/>
        </w:rPr>
      </w:pPr>
    </w:p>
    <w:p>
      <w:pPr>
        <w:pStyle w:val="ListParagraph"/>
        <w:numPr>
          <w:ilvl w:val="0"/>
          <w:numId w:val="1"/>
        </w:numPr>
        <w:tabs>
          <w:tab w:pos="841" w:val="left" w:leader="none"/>
        </w:tabs>
        <w:spacing w:line="360" w:lineRule="auto" w:before="1" w:after="0"/>
        <w:ind w:left="840" w:right="1197" w:hanging="721"/>
        <w:jc w:val="both"/>
        <w:rPr>
          <w:sz w:val="20"/>
        </w:rPr>
      </w:pPr>
      <w:r>
        <w:rPr>
          <w:sz w:val="20"/>
        </w:rPr>
        <w:t>I</w:t>
      </w:r>
      <w:r>
        <w:rPr>
          <w:spacing w:val="-9"/>
          <w:sz w:val="20"/>
        </w:rPr>
        <w:t> </w:t>
      </w:r>
      <w:r>
        <w:rPr>
          <w:sz w:val="20"/>
        </w:rPr>
        <w:t>verily</w:t>
      </w:r>
      <w:r>
        <w:rPr>
          <w:spacing w:val="-7"/>
          <w:sz w:val="20"/>
        </w:rPr>
        <w:t> </w:t>
      </w:r>
      <w:r>
        <w:rPr>
          <w:sz w:val="20"/>
        </w:rPr>
        <w:t>believe</w:t>
      </w:r>
      <w:r>
        <w:rPr>
          <w:spacing w:val="-8"/>
          <w:sz w:val="20"/>
        </w:rPr>
        <w:t> </w:t>
      </w:r>
      <w:r>
        <w:rPr>
          <w:sz w:val="20"/>
        </w:rPr>
        <w:t>that</w:t>
      </w:r>
      <w:r>
        <w:rPr>
          <w:spacing w:val="-8"/>
          <w:sz w:val="20"/>
        </w:rPr>
        <w:t> </w:t>
      </w:r>
      <w:r>
        <w:rPr>
          <w:sz w:val="20"/>
        </w:rPr>
        <w:t>from</w:t>
      </w:r>
      <w:r>
        <w:rPr>
          <w:spacing w:val="-10"/>
          <w:sz w:val="20"/>
        </w:rPr>
        <w:t> </w:t>
      </w:r>
      <w:r>
        <w:rPr>
          <w:sz w:val="20"/>
        </w:rPr>
        <w:t>my</w:t>
      </w:r>
      <w:r>
        <w:rPr>
          <w:spacing w:val="-7"/>
          <w:sz w:val="20"/>
        </w:rPr>
        <w:t> </w:t>
      </w:r>
      <w:r>
        <w:rPr>
          <w:sz w:val="20"/>
        </w:rPr>
        <w:t>time</w:t>
      </w:r>
      <w:r>
        <w:rPr>
          <w:spacing w:val="-8"/>
          <w:sz w:val="20"/>
        </w:rPr>
        <w:t> </w:t>
      </w:r>
      <w:r>
        <w:rPr>
          <w:sz w:val="20"/>
        </w:rPr>
        <w:t>as</w:t>
      </w:r>
      <w:r>
        <w:rPr>
          <w:spacing w:val="-8"/>
          <w:sz w:val="20"/>
        </w:rPr>
        <w:t> </w:t>
      </w:r>
      <w:r>
        <w:rPr>
          <w:sz w:val="20"/>
        </w:rPr>
        <w:t>a</w:t>
      </w:r>
      <w:r>
        <w:rPr>
          <w:spacing w:val="-9"/>
          <w:sz w:val="20"/>
        </w:rPr>
        <w:t> </w:t>
      </w:r>
      <w:r>
        <w:rPr>
          <w:sz w:val="20"/>
        </w:rPr>
        <w:t>director</w:t>
      </w:r>
      <w:r>
        <w:rPr>
          <w:spacing w:val="-9"/>
          <w:sz w:val="20"/>
        </w:rPr>
        <w:t> </w:t>
      </w:r>
      <w:r>
        <w:rPr>
          <w:sz w:val="20"/>
        </w:rPr>
        <w:t>of</w:t>
      </w:r>
      <w:r>
        <w:rPr>
          <w:spacing w:val="-8"/>
          <w:sz w:val="20"/>
        </w:rPr>
        <w:t> </w:t>
      </w:r>
      <w:r>
        <w:rPr>
          <w:sz w:val="20"/>
        </w:rPr>
        <w:t>KRN,</w:t>
      </w:r>
      <w:r>
        <w:rPr>
          <w:spacing w:val="-10"/>
          <w:sz w:val="20"/>
        </w:rPr>
        <w:t> </w:t>
      </w:r>
      <w:r>
        <w:rPr>
          <w:sz w:val="20"/>
        </w:rPr>
        <w:t>that</w:t>
      </w:r>
      <w:r>
        <w:rPr>
          <w:spacing w:val="-8"/>
          <w:sz w:val="20"/>
        </w:rPr>
        <w:t> </w:t>
      </w:r>
      <w:r>
        <w:rPr>
          <w:sz w:val="20"/>
        </w:rPr>
        <w:t>KRN</w:t>
      </w:r>
      <w:r>
        <w:rPr>
          <w:spacing w:val="-9"/>
          <w:sz w:val="20"/>
        </w:rPr>
        <w:t> </w:t>
      </w:r>
      <w:r>
        <w:rPr>
          <w:sz w:val="20"/>
        </w:rPr>
        <w:t>does</w:t>
      </w:r>
      <w:r>
        <w:rPr>
          <w:spacing w:val="-7"/>
          <w:sz w:val="20"/>
        </w:rPr>
        <w:t> </w:t>
      </w:r>
      <w:r>
        <w:rPr>
          <w:sz w:val="20"/>
        </w:rPr>
        <w:t>not</w:t>
      </w:r>
      <w:r>
        <w:rPr>
          <w:spacing w:val="-8"/>
          <w:sz w:val="20"/>
        </w:rPr>
        <w:t> </w:t>
      </w:r>
      <w:r>
        <w:rPr>
          <w:sz w:val="20"/>
        </w:rPr>
        <w:t>have</w:t>
      </w:r>
      <w:r>
        <w:rPr>
          <w:spacing w:val="-9"/>
          <w:sz w:val="20"/>
        </w:rPr>
        <w:t> </w:t>
      </w:r>
      <w:r>
        <w:rPr>
          <w:sz w:val="20"/>
        </w:rPr>
        <w:t>anyone</w:t>
      </w:r>
      <w:r>
        <w:rPr>
          <w:spacing w:val="-9"/>
          <w:sz w:val="20"/>
        </w:rPr>
        <w:t> </w:t>
      </w:r>
      <w:r>
        <w:rPr>
          <w:sz w:val="20"/>
        </w:rPr>
        <w:t>on</w:t>
      </w:r>
      <w:r>
        <w:rPr>
          <w:spacing w:val="-9"/>
          <w:sz w:val="20"/>
        </w:rPr>
        <w:t> </w:t>
      </w:r>
      <w:r>
        <w:rPr>
          <w:sz w:val="20"/>
        </w:rPr>
        <w:t>staff</w:t>
      </w:r>
      <w:r>
        <w:rPr>
          <w:spacing w:val="-8"/>
          <w:sz w:val="20"/>
        </w:rPr>
        <w:t> </w:t>
      </w:r>
      <w:r>
        <w:rPr>
          <w:sz w:val="20"/>
        </w:rPr>
        <w:t>that has any experience in undertaking technical studies for chemical manufacturing plants. I verily believe that neither KRN, nor its staff, are “qualified</w:t>
      </w:r>
      <w:r>
        <w:rPr>
          <w:spacing w:val="-10"/>
          <w:sz w:val="20"/>
        </w:rPr>
        <w:t> </w:t>
      </w:r>
      <w:r>
        <w:rPr>
          <w:sz w:val="20"/>
        </w:rPr>
        <w:t>persons”.</w:t>
      </w:r>
    </w:p>
    <w:p>
      <w:pPr>
        <w:pStyle w:val="BodyText"/>
        <w:spacing w:before="11"/>
        <w:rPr>
          <w:sz w:val="29"/>
        </w:rPr>
      </w:pPr>
    </w:p>
    <w:p>
      <w:pPr>
        <w:pStyle w:val="Heading1"/>
        <w:numPr>
          <w:ilvl w:val="0"/>
          <w:numId w:val="5"/>
        </w:numPr>
        <w:tabs>
          <w:tab w:pos="839" w:val="left" w:leader="none"/>
          <w:tab w:pos="841" w:val="left" w:leader="none"/>
        </w:tabs>
        <w:spacing w:line="240" w:lineRule="auto" w:before="0" w:after="0"/>
        <w:ind w:left="840" w:right="0" w:hanging="721"/>
        <w:jc w:val="left"/>
        <w:rPr>
          <w:u w:val="none"/>
        </w:rPr>
      </w:pPr>
      <w:r>
        <w:rPr>
          <w:u w:val="thick"/>
        </w:rPr>
        <w:t>Accounting Firm Hired to Review Technical</w:t>
      </w:r>
      <w:r>
        <w:rPr>
          <w:spacing w:val="-7"/>
          <w:u w:val="thick"/>
        </w:rPr>
        <w:t> </w:t>
      </w:r>
      <w:r>
        <w:rPr>
          <w:u w:val="thick"/>
        </w:rPr>
        <w:t>Report</w:t>
      </w:r>
    </w:p>
    <w:p>
      <w:pPr>
        <w:pStyle w:val="BodyText"/>
        <w:rPr>
          <w:b/>
        </w:rPr>
      </w:pPr>
    </w:p>
    <w:p>
      <w:pPr>
        <w:pStyle w:val="BodyText"/>
        <w:rPr>
          <w:b/>
        </w:rPr>
      </w:pPr>
    </w:p>
    <w:p>
      <w:pPr>
        <w:pStyle w:val="ListParagraph"/>
        <w:numPr>
          <w:ilvl w:val="0"/>
          <w:numId w:val="1"/>
        </w:numPr>
        <w:tabs>
          <w:tab w:pos="841" w:val="left" w:leader="none"/>
        </w:tabs>
        <w:spacing w:line="360" w:lineRule="auto" w:before="0" w:after="0"/>
        <w:ind w:left="839" w:right="1196" w:hanging="720"/>
        <w:jc w:val="both"/>
        <w:rPr>
          <w:sz w:val="20"/>
        </w:rPr>
      </w:pPr>
      <w:r>
        <w:rPr>
          <w:sz w:val="20"/>
        </w:rPr>
        <w:t>On July 27, 2020, KRN issued a press release (the “</w:t>
      </w:r>
      <w:r>
        <w:rPr>
          <w:b/>
          <w:sz w:val="20"/>
        </w:rPr>
        <w:t>MNP Press Release</w:t>
      </w:r>
      <w:r>
        <w:rPr>
          <w:sz w:val="20"/>
        </w:rPr>
        <w:t>”) stating that it had engaged</w:t>
      </w:r>
      <w:r>
        <w:rPr>
          <w:spacing w:val="-6"/>
          <w:sz w:val="20"/>
        </w:rPr>
        <w:t> </w:t>
      </w:r>
      <w:r>
        <w:rPr>
          <w:sz w:val="20"/>
        </w:rPr>
        <w:t>MNP,</w:t>
      </w:r>
      <w:r>
        <w:rPr>
          <w:spacing w:val="-7"/>
          <w:sz w:val="20"/>
        </w:rPr>
        <w:t> </w:t>
      </w:r>
      <w:r>
        <w:rPr>
          <w:sz w:val="20"/>
        </w:rPr>
        <w:t>an</w:t>
      </w:r>
      <w:r>
        <w:rPr>
          <w:spacing w:val="-6"/>
          <w:sz w:val="20"/>
        </w:rPr>
        <w:t> </w:t>
      </w:r>
      <w:r>
        <w:rPr>
          <w:sz w:val="20"/>
        </w:rPr>
        <w:t>accounting</w:t>
      </w:r>
      <w:r>
        <w:rPr>
          <w:spacing w:val="-6"/>
          <w:sz w:val="20"/>
        </w:rPr>
        <w:t> </w:t>
      </w:r>
      <w:r>
        <w:rPr>
          <w:sz w:val="20"/>
        </w:rPr>
        <w:t>and</w:t>
      </w:r>
      <w:r>
        <w:rPr>
          <w:spacing w:val="-6"/>
          <w:sz w:val="20"/>
        </w:rPr>
        <w:t> </w:t>
      </w:r>
      <w:r>
        <w:rPr>
          <w:sz w:val="20"/>
        </w:rPr>
        <w:t>tax</w:t>
      </w:r>
      <w:r>
        <w:rPr>
          <w:spacing w:val="-6"/>
          <w:sz w:val="20"/>
        </w:rPr>
        <w:t> </w:t>
      </w:r>
      <w:r>
        <w:rPr>
          <w:sz w:val="20"/>
        </w:rPr>
        <w:t>consulting</w:t>
      </w:r>
      <w:r>
        <w:rPr>
          <w:spacing w:val="-6"/>
          <w:sz w:val="20"/>
        </w:rPr>
        <w:t> </w:t>
      </w:r>
      <w:r>
        <w:rPr>
          <w:sz w:val="20"/>
        </w:rPr>
        <w:t>firm,</w:t>
      </w:r>
      <w:r>
        <w:rPr>
          <w:spacing w:val="-7"/>
          <w:sz w:val="20"/>
        </w:rPr>
        <w:t> </w:t>
      </w:r>
      <w:r>
        <w:rPr>
          <w:sz w:val="20"/>
        </w:rPr>
        <w:t>to</w:t>
      </w:r>
      <w:r>
        <w:rPr>
          <w:spacing w:val="-5"/>
          <w:sz w:val="20"/>
        </w:rPr>
        <w:t> </w:t>
      </w:r>
      <w:r>
        <w:rPr>
          <w:sz w:val="20"/>
        </w:rPr>
        <w:t>undertake</w:t>
      </w:r>
      <w:r>
        <w:rPr>
          <w:spacing w:val="-8"/>
          <w:sz w:val="20"/>
        </w:rPr>
        <w:t> </w:t>
      </w:r>
      <w:r>
        <w:rPr>
          <w:sz w:val="20"/>
        </w:rPr>
        <w:t>a</w:t>
      </w:r>
      <w:r>
        <w:rPr>
          <w:spacing w:val="-6"/>
          <w:sz w:val="20"/>
        </w:rPr>
        <w:t> </w:t>
      </w:r>
      <w:r>
        <w:rPr>
          <w:sz w:val="20"/>
        </w:rPr>
        <w:t>review</w:t>
      </w:r>
      <w:r>
        <w:rPr>
          <w:spacing w:val="-6"/>
          <w:sz w:val="20"/>
        </w:rPr>
        <w:t> </w:t>
      </w:r>
      <w:r>
        <w:rPr>
          <w:sz w:val="20"/>
        </w:rPr>
        <w:t>of</w:t>
      </w:r>
      <w:r>
        <w:rPr>
          <w:spacing w:val="-7"/>
          <w:sz w:val="20"/>
        </w:rPr>
        <w:t> </w:t>
      </w:r>
      <w:r>
        <w:rPr>
          <w:sz w:val="20"/>
        </w:rPr>
        <w:t>the</w:t>
      </w:r>
      <w:r>
        <w:rPr>
          <w:spacing w:val="-6"/>
          <w:sz w:val="20"/>
        </w:rPr>
        <w:t> </w:t>
      </w:r>
      <w:r>
        <w:rPr>
          <w:sz w:val="20"/>
        </w:rPr>
        <w:t>Nitrogen</w:t>
      </w:r>
      <w:r>
        <w:rPr>
          <w:spacing w:val="-6"/>
          <w:sz w:val="20"/>
        </w:rPr>
        <w:t> </w:t>
      </w:r>
      <w:r>
        <w:rPr>
          <w:sz w:val="20"/>
        </w:rPr>
        <w:t>Study, and to develop a corporate strategy for KRN. Attached and marked as </w:t>
      </w:r>
      <w:r>
        <w:rPr>
          <w:b/>
          <w:sz w:val="20"/>
        </w:rPr>
        <w:t>Exhibit “JJ” </w:t>
      </w:r>
      <w:r>
        <w:rPr>
          <w:sz w:val="20"/>
        </w:rPr>
        <w:t>to the FDW Affidavit is a copy of the Karnalyte press release dated July 27,</w:t>
      </w:r>
      <w:r>
        <w:rPr>
          <w:spacing w:val="-12"/>
          <w:sz w:val="20"/>
        </w:rPr>
        <w:t> </w:t>
      </w:r>
      <w:r>
        <w:rPr>
          <w:sz w:val="20"/>
        </w:rPr>
        <w:t>2020.</w:t>
      </w:r>
    </w:p>
    <w:p>
      <w:pPr>
        <w:pStyle w:val="BodyText"/>
        <w:spacing w:before="1"/>
      </w:pPr>
    </w:p>
    <w:p>
      <w:pPr>
        <w:pStyle w:val="ListParagraph"/>
        <w:numPr>
          <w:ilvl w:val="0"/>
          <w:numId w:val="1"/>
        </w:numPr>
        <w:tabs>
          <w:tab w:pos="840" w:val="left" w:leader="none"/>
        </w:tabs>
        <w:spacing w:line="360" w:lineRule="auto" w:before="0" w:after="0"/>
        <w:ind w:left="839" w:right="1196" w:hanging="720"/>
        <w:jc w:val="both"/>
        <w:rPr>
          <w:sz w:val="20"/>
        </w:rPr>
      </w:pPr>
      <w:r>
        <w:rPr>
          <w:sz w:val="20"/>
        </w:rPr>
        <w:t>I verily believe KRN’s reasons for engaging MNP was to “</w:t>
      </w:r>
      <w:r>
        <w:rPr>
          <w:i/>
          <w:sz w:val="20"/>
        </w:rPr>
        <w:t>cleanse</w:t>
      </w:r>
      <w:r>
        <w:rPr>
          <w:sz w:val="20"/>
        </w:rPr>
        <w:t>” the Nitrogen Study and somehow make it “</w:t>
      </w:r>
      <w:r>
        <w:rPr>
          <w:i/>
          <w:sz w:val="20"/>
        </w:rPr>
        <w:t>independent</w:t>
      </w:r>
      <w:r>
        <w:rPr>
          <w:sz w:val="20"/>
        </w:rPr>
        <w:t>” through the review of MNP. I am not aware of MNP’s qualifications, as an accounting and tax firm, to review the technical aspects of a chemical manufacturing plant contained in the Nitrogen</w:t>
      </w:r>
      <w:r>
        <w:rPr>
          <w:spacing w:val="-8"/>
          <w:sz w:val="20"/>
        </w:rPr>
        <w:t> </w:t>
      </w:r>
      <w:r>
        <w:rPr>
          <w:sz w:val="20"/>
        </w:rPr>
        <w:t>Study.</w:t>
      </w:r>
    </w:p>
    <w:p>
      <w:pPr>
        <w:pStyle w:val="BodyText"/>
        <w:spacing w:before="10"/>
      </w:pPr>
    </w:p>
    <w:p>
      <w:pPr>
        <w:pStyle w:val="Heading1"/>
        <w:spacing w:before="1"/>
        <w:ind w:left="119" w:firstLine="0"/>
        <w:rPr>
          <w:u w:val="none"/>
        </w:rPr>
      </w:pPr>
      <w:r>
        <w:rPr>
          <w:u w:val="none"/>
        </w:rPr>
        <w:t>My Reasonable Expectations – Confidentiality</w:t>
      </w:r>
    </w:p>
    <w:p>
      <w:pPr>
        <w:pStyle w:val="BodyText"/>
        <w:spacing w:before="9"/>
        <w:rPr>
          <w:b/>
          <w:sz w:val="30"/>
        </w:rPr>
      </w:pPr>
    </w:p>
    <w:p>
      <w:pPr>
        <w:pStyle w:val="ListParagraph"/>
        <w:numPr>
          <w:ilvl w:val="0"/>
          <w:numId w:val="1"/>
        </w:numPr>
        <w:tabs>
          <w:tab w:pos="840" w:val="left" w:leader="none"/>
        </w:tabs>
        <w:spacing w:line="360" w:lineRule="auto" w:before="0" w:after="0"/>
        <w:ind w:left="839" w:right="1197" w:hanging="721"/>
        <w:jc w:val="both"/>
        <w:rPr>
          <w:sz w:val="20"/>
        </w:rPr>
      </w:pPr>
      <w:r>
        <w:rPr>
          <w:sz w:val="20"/>
        </w:rPr>
        <w:t>My reasonable expectations that the KRN Board and management of a Canadian publicly listed company</w:t>
      </w:r>
      <w:r>
        <w:rPr>
          <w:spacing w:val="-5"/>
          <w:sz w:val="20"/>
        </w:rPr>
        <w:t> </w:t>
      </w:r>
      <w:r>
        <w:rPr>
          <w:sz w:val="20"/>
        </w:rPr>
        <w:t>would</w:t>
      </w:r>
      <w:r>
        <w:rPr>
          <w:spacing w:val="-5"/>
          <w:sz w:val="20"/>
        </w:rPr>
        <w:t> </w:t>
      </w:r>
      <w:r>
        <w:rPr>
          <w:sz w:val="20"/>
        </w:rPr>
        <w:t>maintain</w:t>
      </w:r>
      <w:r>
        <w:rPr>
          <w:spacing w:val="-5"/>
          <w:sz w:val="20"/>
        </w:rPr>
        <w:t> </w:t>
      </w:r>
      <w:r>
        <w:rPr>
          <w:sz w:val="20"/>
        </w:rPr>
        <w:t>the</w:t>
      </w:r>
      <w:r>
        <w:rPr>
          <w:spacing w:val="-5"/>
          <w:sz w:val="20"/>
        </w:rPr>
        <w:t> </w:t>
      </w:r>
      <w:r>
        <w:rPr>
          <w:sz w:val="20"/>
        </w:rPr>
        <w:t>confidentiality</w:t>
      </w:r>
      <w:r>
        <w:rPr>
          <w:spacing w:val="-5"/>
          <w:sz w:val="20"/>
        </w:rPr>
        <w:t> </w:t>
      </w:r>
      <w:r>
        <w:rPr>
          <w:sz w:val="20"/>
        </w:rPr>
        <w:t>of</w:t>
      </w:r>
      <w:r>
        <w:rPr>
          <w:spacing w:val="-6"/>
          <w:sz w:val="20"/>
        </w:rPr>
        <w:t> </w:t>
      </w:r>
      <w:r>
        <w:rPr>
          <w:sz w:val="20"/>
        </w:rPr>
        <w:t>material</w:t>
      </w:r>
      <w:r>
        <w:rPr>
          <w:spacing w:val="-5"/>
          <w:sz w:val="20"/>
        </w:rPr>
        <w:t> </w:t>
      </w:r>
      <w:r>
        <w:rPr>
          <w:sz w:val="20"/>
        </w:rPr>
        <w:t>information</w:t>
      </w:r>
      <w:r>
        <w:rPr>
          <w:spacing w:val="-6"/>
          <w:sz w:val="20"/>
        </w:rPr>
        <w:t> </w:t>
      </w:r>
      <w:r>
        <w:rPr>
          <w:sz w:val="20"/>
        </w:rPr>
        <w:t>were</w:t>
      </w:r>
      <w:r>
        <w:rPr>
          <w:spacing w:val="-5"/>
          <w:sz w:val="20"/>
        </w:rPr>
        <w:t> </w:t>
      </w:r>
      <w:r>
        <w:rPr>
          <w:sz w:val="20"/>
        </w:rPr>
        <w:t>not</w:t>
      </w:r>
      <w:r>
        <w:rPr>
          <w:spacing w:val="-6"/>
          <w:sz w:val="20"/>
        </w:rPr>
        <w:t> </w:t>
      </w:r>
      <w:r>
        <w:rPr>
          <w:sz w:val="20"/>
        </w:rPr>
        <w:t>met</w:t>
      </w:r>
      <w:r>
        <w:rPr>
          <w:spacing w:val="-6"/>
          <w:sz w:val="20"/>
        </w:rPr>
        <w:t> </w:t>
      </w:r>
      <w:r>
        <w:rPr>
          <w:sz w:val="20"/>
        </w:rPr>
        <w:t>when</w:t>
      </w:r>
      <w:r>
        <w:rPr>
          <w:spacing w:val="-4"/>
          <w:sz w:val="20"/>
        </w:rPr>
        <w:t> </w:t>
      </w:r>
      <w:r>
        <w:rPr>
          <w:sz w:val="20"/>
        </w:rPr>
        <w:t>both</w:t>
      </w:r>
      <w:r>
        <w:rPr>
          <w:spacing w:val="-5"/>
          <w:sz w:val="20"/>
        </w:rPr>
        <w:t> </w:t>
      </w:r>
      <w:r>
        <w:rPr>
          <w:sz w:val="20"/>
        </w:rPr>
        <w:t>Varma and</w:t>
      </w:r>
      <w:r>
        <w:rPr>
          <w:spacing w:val="-15"/>
          <w:sz w:val="20"/>
        </w:rPr>
        <w:t> </w:t>
      </w:r>
      <w:r>
        <w:rPr>
          <w:sz w:val="20"/>
        </w:rPr>
        <w:t>Favreau</w:t>
      </w:r>
      <w:r>
        <w:rPr>
          <w:spacing w:val="-16"/>
          <w:sz w:val="20"/>
        </w:rPr>
        <w:t> </w:t>
      </w:r>
      <w:r>
        <w:rPr>
          <w:sz w:val="20"/>
        </w:rPr>
        <w:t>disclosed</w:t>
      </w:r>
      <w:r>
        <w:rPr>
          <w:spacing w:val="-15"/>
          <w:sz w:val="20"/>
        </w:rPr>
        <w:t> </w:t>
      </w:r>
      <w:r>
        <w:rPr>
          <w:sz w:val="20"/>
        </w:rPr>
        <w:t>details</w:t>
      </w:r>
      <w:r>
        <w:rPr>
          <w:spacing w:val="-14"/>
          <w:sz w:val="20"/>
        </w:rPr>
        <w:t> </w:t>
      </w:r>
      <w:r>
        <w:rPr>
          <w:sz w:val="20"/>
        </w:rPr>
        <w:t>of</w:t>
      </w:r>
      <w:r>
        <w:rPr>
          <w:spacing w:val="-15"/>
          <w:sz w:val="20"/>
        </w:rPr>
        <w:t> </w:t>
      </w:r>
      <w:r>
        <w:rPr>
          <w:sz w:val="20"/>
        </w:rPr>
        <w:t>the</w:t>
      </w:r>
      <w:r>
        <w:rPr>
          <w:spacing w:val="-15"/>
          <w:sz w:val="20"/>
        </w:rPr>
        <w:t> </w:t>
      </w:r>
      <w:r>
        <w:rPr>
          <w:sz w:val="20"/>
        </w:rPr>
        <w:t>Nitrogen</w:t>
      </w:r>
      <w:r>
        <w:rPr>
          <w:spacing w:val="-15"/>
          <w:sz w:val="20"/>
        </w:rPr>
        <w:t> </w:t>
      </w:r>
      <w:r>
        <w:rPr>
          <w:sz w:val="20"/>
        </w:rPr>
        <w:t>Study</w:t>
      </w:r>
      <w:r>
        <w:rPr>
          <w:spacing w:val="-13"/>
          <w:sz w:val="20"/>
        </w:rPr>
        <w:t> </w:t>
      </w:r>
      <w:r>
        <w:rPr>
          <w:sz w:val="20"/>
        </w:rPr>
        <w:t>to</w:t>
      </w:r>
      <w:r>
        <w:rPr>
          <w:spacing w:val="-16"/>
          <w:sz w:val="20"/>
        </w:rPr>
        <w:t> </w:t>
      </w:r>
      <w:r>
        <w:rPr>
          <w:sz w:val="20"/>
        </w:rPr>
        <w:t>me,</w:t>
      </w:r>
      <w:r>
        <w:rPr>
          <w:spacing w:val="-15"/>
          <w:sz w:val="20"/>
        </w:rPr>
        <w:t> </w:t>
      </w:r>
      <w:r>
        <w:rPr>
          <w:sz w:val="20"/>
        </w:rPr>
        <w:t>and</w:t>
      </w:r>
      <w:r>
        <w:rPr>
          <w:spacing w:val="-15"/>
          <w:sz w:val="20"/>
        </w:rPr>
        <w:t> </w:t>
      </w:r>
      <w:r>
        <w:rPr>
          <w:sz w:val="20"/>
        </w:rPr>
        <w:t>not</w:t>
      </w:r>
      <w:r>
        <w:rPr>
          <w:spacing w:val="-15"/>
          <w:sz w:val="20"/>
        </w:rPr>
        <w:t> </w:t>
      </w:r>
      <w:r>
        <w:rPr>
          <w:sz w:val="20"/>
        </w:rPr>
        <w:t>to</w:t>
      </w:r>
      <w:r>
        <w:rPr>
          <w:spacing w:val="-15"/>
          <w:sz w:val="20"/>
        </w:rPr>
        <w:t> </w:t>
      </w:r>
      <w:r>
        <w:rPr>
          <w:sz w:val="20"/>
        </w:rPr>
        <w:t>the</w:t>
      </w:r>
      <w:r>
        <w:rPr>
          <w:spacing w:val="-15"/>
          <w:sz w:val="20"/>
        </w:rPr>
        <w:t> </w:t>
      </w:r>
      <w:r>
        <w:rPr>
          <w:sz w:val="20"/>
        </w:rPr>
        <w:t>Canadian</w:t>
      </w:r>
      <w:r>
        <w:rPr>
          <w:spacing w:val="-14"/>
          <w:sz w:val="20"/>
        </w:rPr>
        <w:t> </w:t>
      </w:r>
      <w:r>
        <w:rPr>
          <w:sz w:val="20"/>
        </w:rPr>
        <w:t>capital</w:t>
      </w:r>
      <w:r>
        <w:rPr>
          <w:spacing w:val="-15"/>
          <w:sz w:val="20"/>
        </w:rPr>
        <w:t> </w:t>
      </w:r>
      <w:r>
        <w:rPr>
          <w:sz w:val="20"/>
        </w:rPr>
        <w:t>markets.</w:t>
      </w:r>
    </w:p>
    <w:p>
      <w:pPr>
        <w:spacing w:after="0" w:line="360" w:lineRule="auto"/>
        <w:jc w:val="both"/>
        <w:rPr>
          <w:sz w:val="20"/>
        </w:rPr>
        <w:sectPr>
          <w:pgSz w:w="12240" w:h="15840"/>
          <w:pgMar w:header="0" w:footer="971" w:top="1220" w:bottom="1160" w:left="1320" w:right="240"/>
        </w:sectPr>
      </w:pPr>
    </w:p>
    <w:p>
      <w:pPr>
        <w:pStyle w:val="Heading1"/>
        <w:spacing w:before="75"/>
        <w:ind w:left="120" w:firstLine="0"/>
        <w:rPr>
          <w:u w:val="none"/>
        </w:rPr>
      </w:pPr>
      <w:r>
        <w:rPr>
          <w:u w:val="none"/>
        </w:rPr>
        <w:t>Conflicts of Interest</w:t>
      </w:r>
    </w:p>
    <w:p>
      <w:pPr>
        <w:pStyle w:val="BodyText"/>
        <w:spacing w:before="10"/>
        <w:rPr>
          <w:b/>
          <w:sz w:val="30"/>
        </w:rPr>
      </w:pPr>
    </w:p>
    <w:p>
      <w:pPr>
        <w:pStyle w:val="ListParagraph"/>
        <w:numPr>
          <w:ilvl w:val="0"/>
          <w:numId w:val="1"/>
        </w:numPr>
        <w:tabs>
          <w:tab w:pos="841" w:val="left" w:leader="none"/>
        </w:tabs>
        <w:spacing w:line="360" w:lineRule="auto" w:before="0" w:after="0"/>
        <w:ind w:left="839" w:right="1198" w:hanging="720"/>
        <w:jc w:val="both"/>
        <w:rPr>
          <w:sz w:val="20"/>
        </w:rPr>
      </w:pPr>
      <w:r>
        <w:rPr>
          <w:sz w:val="20"/>
        </w:rPr>
        <w:t>I verily believe that GSFC preparing, and being paid by KRN to prepare, the Nitrogen Study is an obvious conflict of interest and a case of self-dealing. I verily believe the conflict of interest is obvious</w:t>
      </w:r>
      <w:r>
        <w:rPr>
          <w:spacing w:val="-1"/>
          <w:sz w:val="20"/>
        </w:rPr>
        <w:t> </w:t>
      </w:r>
      <w:r>
        <w:rPr>
          <w:sz w:val="20"/>
        </w:rPr>
        <w:t>because:</w:t>
      </w:r>
    </w:p>
    <w:p>
      <w:pPr>
        <w:pStyle w:val="BodyText"/>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GSFC owns 38.73% of</w:t>
      </w:r>
      <w:r>
        <w:rPr>
          <w:spacing w:val="-2"/>
          <w:sz w:val="20"/>
        </w:rPr>
        <w:t> </w:t>
      </w:r>
      <w:r>
        <w:rPr>
          <w:sz w:val="20"/>
        </w:rPr>
        <w:t>KRN;</w:t>
      </w:r>
    </w:p>
    <w:p>
      <w:pPr>
        <w:pStyle w:val="BodyText"/>
        <w:spacing w:before="9"/>
        <w:rPr>
          <w:sz w:val="30"/>
        </w:rPr>
      </w:pPr>
    </w:p>
    <w:p>
      <w:pPr>
        <w:pStyle w:val="ListParagraph"/>
        <w:numPr>
          <w:ilvl w:val="1"/>
          <w:numId w:val="1"/>
        </w:numPr>
        <w:tabs>
          <w:tab w:pos="1559" w:val="left" w:leader="none"/>
          <w:tab w:pos="1560" w:val="left" w:leader="none"/>
        </w:tabs>
        <w:spacing w:line="350" w:lineRule="auto" w:before="0" w:after="0"/>
        <w:ind w:left="1559" w:right="1197" w:hanging="721"/>
        <w:jc w:val="left"/>
        <w:rPr>
          <w:sz w:val="20"/>
        </w:rPr>
      </w:pPr>
      <w:r>
        <w:rPr>
          <w:sz w:val="20"/>
        </w:rPr>
        <w:t>the GSFC Nominees comprised three (3) of four (4) seats on the KRN Board when the Nitrogen Study was initiated;</w:t>
      </w:r>
      <w:r>
        <w:rPr>
          <w:spacing w:val="-4"/>
          <w:sz w:val="20"/>
        </w:rPr>
        <w:t> </w:t>
      </w:r>
      <w:r>
        <w:rPr>
          <w:sz w:val="20"/>
        </w:rPr>
        <w:t>and</w:t>
      </w:r>
    </w:p>
    <w:p>
      <w:pPr>
        <w:pStyle w:val="BodyText"/>
        <w:spacing w:before="8"/>
        <w:rPr>
          <w:sz w:val="21"/>
        </w:rPr>
      </w:pPr>
    </w:p>
    <w:p>
      <w:pPr>
        <w:pStyle w:val="ListParagraph"/>
        <w:numPr>
          <w:ilvl w:val="1"/>
          <w:numId w:val="1"/>
        </w:numPr>
        <w:tabs>
          <w:tab w:pos="1559" w:val="left" w:leader="none"/>
          <w:tab w:pos="1560" w:val="left" w:leader="none"/>
        </w:tabs>
        <w:spacing w:line="240" w:lineRule="auto" w:before="0" w:after="0"/>
        <w:ind w:left="1559" w:right="0" w:hanging="721"/>
        <w:jc w:val="left"/>
        <w:rPr>
          <w:sz w:val="20"/>
        </w:rPr>
      </w:pPr>
      <w:r>
        <w:rPr>
          <w:sz w:val="20"/>
        </w:rPr>
        <w:t>KRN was paying GSFC to prepare the Nitrogen</w:t>
      </w:r>
      <w:r>
        <w:rPr>
          <w:spacing w:val="-8"/>
          <w:sz w:val="20"/>
        </w:rPr>
        <w:t> </w:t>
      </w:r>
      <w:r>
        <w:rPr>
          <w:sz w:val="20"/>
        </w:rPr>
        <w:t>Study.</w:t>
      </w:r>
    </w:p>
    <w:p>
      <w:pPr>
        <w:pStyle w:val="BodyText"/>
        <w:spacing w:before="7"/>
        <w:rPr>
          <w:sz w:val="30"/>
        </w:rPr>
      </w:pPr>
    </w:p>
    <w:p>
      <w:pPr>
        <w:pStyle w:val="ListParagraph"/>
        <w:numPr>
          <w:ilvl w:val="0"/>
          <w:numId w:val="1"/>
        </w:numPr>
        <w:tabs>
          <w:tab w:pos="839" w:val="left" w:leader="none"/>
          <w:tab w:pos="840" w:val="left" w:leader="none"/>
        </w:tabs>
        <w:spacing w:line="240" w:lineRule="auto" w:before="0" w:after="0"/>
        <w:ind w:left="839" w:right="0" w:hanging="721"/>
        <w:jc w:val="left"/>
        <w:rPr>
          <w:sz w:val="20"/>
        </w:rPr>
      </w:pPr>
      <w:r>
        <w:rPr>
          <w:sz w:val="20"/>
        </w:rPr>
        <w:t>The KRN Code provides that [</w:t>
      </w:r>
      <w:r>
        <w:rPr>
          <w:b/>
          <w:sz w:val="20"/>
        </w:rPr>
        <w:t>emphasis</w:t>
      </w:r>
      <w:r>
        <w:rPr>
          <w:b/>
          <w:spacing w:val="-5"/>
          <w:sz w:val="20"/>
        </w:rPr>
        <w:t> </w:t>
      </w:r>
      <w:r>
        <w:rPr>
          <w:b/>
          <w:sz w:val="20"/>
        </w:rPr>
        <w:t>added</w:t>
      </w:r>
      <w:r>
        <w:rPr>
          <w:sz w:val="20"/>
        </w:rPr>
        <w:t>]:</w:t>
      </w:r>
    </w:p>
    <w:p>
      <w:pPr>
        <w:pStyle w:val="BodyText"/>
        <w:rPr>
          <w:sz w:val="31"/>
        </w:rPr>
      </w:pPr>
    </w:p>
    <w:p>
      <w:pPr>
        <w:pStyle w:val="ListParagraph"/>
        <w:numPr>
          <w:ilvl w:val="1"/>
          <w:numId w:val="1"/>
        </w:numPr>
        <w:tabs>
          <w:tab w:pos="1559" w:val="left" w:leader="none"/>
          <w:tab w:pos="1560" w:val="left" w:leader="none"/>
        </w:tabs>
        <w:spacing w:line="355" w:lineRule="auto" w:before="0" w:after="0"/>
        <w:ind w:left="1559" w:right="1502" w:hanging="721"/>
        <w:jc w:val="left"/>
        <w:rPr>
          <w:i/>
          <w:sz w:val="20"/>
        </w:rPr>
      </w:pPr>
      <w:r>
        <w:rPr>
          <w:i/>
          <w:sz w:val="20"/>
        </w:rPr>
        <w:t>“Directors, officers, employees and consultants have an obligation to promote the best </w:t>
      </w:r>
      <w:r>
        <w:rPr>
          <w:i/>
          <w:sz w:val="20"/>
        </w:rPr>
        <w:t>interests of the Corporation at all times. They should </w:t>
      </w:r>
      <w:r>
        <w:rPr>
          <w:b/>
          <w:i/>
          <w:sz w:val="20"/>
        </w:rPr>
        <w:t>avoid any action which may </w:t>
      </w:r>
      <w:r>
        <w:rPr>
          <w:b/>
          <w:i/>
          <w:sz w:val="20"/>
        </w:rPr>
        <w:t>involve a conflict of interest with the</w:t>
      </w:r>
      <w:r>
        <w:rPr>
          <w:b/>
          <w:i/>
          <w:spacing w:val="-6"/>
          <w:sz w:val="20"/>
        </w:rPr>
        <w:t> </w:t>
      </w:r>
      <w:r>
        <w:rPr>
          <w:b/>
          <w:i/>
          <w:sz w:val="20"/>
        </w:rPr>
        <w:t>Corporation</w:t>
      </w:r>
      <w:r>
        <w:rPr>
          <w:i/>
          <w:sz w:val="20"/>
        </w:rPr>
        <w:t>.”</w:t>
      </w:r>
    </w:p>
    <w:p>
      <w:pPr>
        <w:pStyle w:val="BodyText"/>
        <w:spacing w:before="4"/>
        <w:rPr>
          <w:i/>
          <w:sz w:val="21"/>
        </w:rPr>
      </w:pPr>
    </w:p>
    <w:p>
      <w:pPr>
        <w:pStyle w:val="ListParagraph"/>
        <w:numPr>
          <w:ilvl w:val="1"/>
          <w:numId w:val="1"/>
        </w:numPr>
        <w:tabs>
          <w:tab w:pos="1559" w:val="left" w:leader="none"/>
          <w:tab w:pos="1560" w:val="left" w:leader="none"/>
        </w:tabs>
        <w:spacing w:line="355" w:lineRule="auto" w:before="0" w:after="0"/>
        <w:ind w:left="1559" w:right="1196" w:hanging="721"/>
        <w:jc w:val="both"/>
        <w:rPr>
          <w:b/>
          <w:i/>
          <w:sz w:val="20"/>
        </w:rPr>
      </w:pPr>
      <w:r>
        <w:rPr>
          <w:i/>
          <w:sz w:val="20"/>
        </w:rPr>
        <w:t>“</w:t>
      </w:r>
      <w:r>
        <w:rPr>
          <w:b/>
          <w:i/>
          <w:sz w:val="20"/>
        </w:rPr>
        <w:t>Where conflicts of interest arise</w:t>
      </w:r>
      <w:r>
        <w:rPr>
          <w:i/>
          <w:sz w:val="20"/>
        </w:rPr>
        <w:t>, directors, officers, employees and consultants must </w:t>
      </w:r>
      <w:r>
        <w:rPr>
          <w:i/>
          <w:sz w:val="20"/>
        </w:rPr>
        <w:t>provide</w:t>
      </w:r>
      <w:r>
        <w:rPr>
          <w:i/>
          <w:spacing w:val="-9"/>
          <w:sz w:val="20"/>
        </w:rPr>
        <w:t> </w:t>
      </w:r>
      <w:r>
        <w:rPr>
          <w:i/>
          <w:sz w:val="20"/>
        </w:rPr>
        <w:t>full</w:t>
      </w:r>
      <w:r>
        <w:rPr>
          <w:i/>
          <w:spacing w:val="-10"/>
          <w:sz w:val="20"/>
        </w:rPr>
        <w:t> </w:t>
      </w:r>
      <w:r>
        <w:rPr>
          <w:i/>
          <w:sz w:val="20"/>
        </w:rPr>
        <w:t>disclosure</w:t>
      </w:r>
      <w:r>
        <w:rPr>
          <w:i/>
          <w:spacing w:val="-10"/>
          <w:sz w:val="20"/>
        </w:rPr>
        <w:t> </w:t>
      </w:r>
      <w:r>
        <w:rPr>
          <w:i/>
          <w:sz w:val="20"/>
        </w:rPr>
        <w:t>of</w:t>
      </w:r>
      <w:r>
        <w:rPr>
          <w:i/>
          <w:spacing w:val="-9"/>
          <w:sz w:val="20"/>
        </w:rPr>
        <w:t> </w:t>
      </w:r>
      <w:r>
        <w:rPr>
          <w:i/>
          <w:sz w:val="20"/>
        </w:rPr>
        <w:t>the</w:t>
      </w:r>
      <w:r>
        <w:rPr>
          <w:i/>
          <w:spacing w:val="-9"/>
          <w:sz w:val="20"/>
        </w:rPr>
        <w:t> </w:t>
      </w:r>
      <w:r>
        <w:rPr>
          <w:i/>
          <w:sz w:val="20"/>
        </w:rPr>
        <w:t>circumstances</w:t>
      </w:r>
      <w:r>
        <w:rPr>
          <w:i/>
          <w:spacing w:val="-8"/>
          <w:sz w:val="20"/>
        </w:rPr>
        <w:t> </w:t>
      </w:r>
      <w:r>
        <w:rPr>
          <w:i/>
          <w:sz w:val="20"/>
        </w:rPr>
        <w:t>and</w:t>
      </w:r>
      <w:r>
        <w:rPr>
          <w:i/>
          <w:spacing w:val="-9"/>
          <w:sz w:val="20"/>
        </w:rPr>
        <w:t> </w:t>
      </w:r>
      <w:r>
        <w:rPr>
          <w:b/>
          <w:i/>
          <w:sz w:val="20"/>
        </w:rPr>
        <w:t>not</w:t>
      </w:r>
      <w:r>
        <w:rPr>
          <w:b/>
          <w:i/>
          <w:spacing w:val="-8"/>
          <w:sz w:val="20"/>
        </w:rPr>
        <w:t> </w:t>
      </w:r>
      <w:r>
        <w:rPr>
          <w:b/>
          <w:i/>
          <w:sz w:val="20"/>
        </w:rPr>
        <w:t>be</w:t>
      </w:r>
      <w:r>
        <w:rPr>
          <w:b/>
          <w:i/>
          <w:spacing w:val="-9"/>
          <w:sz w:val="20"/>
        </w:rPr>
        <w:t> </w:t>
      </w:r>
      <w:r>
        <w:rPr>
          <w:b/>
          <w:i/>
          <w:sz w:val="20"/>
        </w:rPr>
        <w:t>involved</w:t>
      </w:r>
      <w:r>
        <w:rPr>
          <w:b/>
          <w:i/>
          <w:spacing w:val="-9"/>
          <w:sz w:val="20"/>
        </w:rPr>
        <w:t> </w:t>
      </w:r>
      <w:r>
        <w:rPr>
          <w:b/>
          <w:i/>
          <w:sz w:val="20"/>
        </w:rPr>
        <w:t>in</w:t>
      </w:r>
      <w:r>
        <w:rPr>
          <w:b/>
          <w:i/>
          <w:spacing w:val="-10"/>
          <w:sz w:val="20"/>
        </w:rPr>
        <w:t> </w:t>
      </w:r>
      <w:r>
        <w:rPr>
          <w:b/>
          <w:i/>
          <w:sz w:val="20"/>
        </w:rPr>
        <w:t>any</w:t>
      </w:r>
      <w:r>
        <w:rPr>
          <w:b/>
          <w:i/>
          <w:spacing w:val="-9"/>
          <w:sz w:val="20"/>
        </w:rPr>
        <w:t> </w:t>
      </w:r>
      <w:r>
        <w:rPr>
          <w:b/>
          <w:i/>
          <w:sz w:val="20"/>
        </w:rPr>
        <w:t>related</w:t>
      </w:r>
      <w:r>
        <w:rPr>
          <w:b/>
          <w:i/>
          <w:spacing w:val="-10"/>
          <w:sz w:val="20"/>
        </w:rPr>
        <w:t> </w:t>
      </w:r>
      <w:r>
        <w:rPr>
          <w:b/>
          <w:i/>
          <w:sz w:val="20"/>
        </w:rPr>
        <w:t>decision- </w:t>
      </w:r>
      <w:r>
        <w:rPr>
          <w:b/>
          <w:i/>
          <w:sz w:val="20"/>
        </w:rPr>
        <w:t>making</w:t>
      </w:r>
      <w:r>
        <w:rPr>
          <w:b/>
          <w:i/>
          <w:spacing w:val="-20"/>
          <w:sz w:val="20"/>
        </w:rPr>
        <w:t> </w:t>
      </w:r>
      <w:r>
        <w:rPr>
          <w:b/>
          <w:i/>
          <w:sz w:val="20"/>
        </w:rPr>
        <w:t>process”.</w:t>
      </w:r>
    </w:p>
    <w:p>
      <w:pPr>
        <w:pStyle w:val="BodyText"/>
        <w:spacing w:before="2"/>
        <w:rPr>
          <w:b/>
          <w:i/>
          <w:sz w:val="21"/>
        </w:rPr>
      </w:pPr>
    </w:p>
    <w:p>
      <w:pPr>
        <w:pStyle w:val="ListParagraph"/>
        <w:numPr>
          <w:ilvl w:val="0"/>
          <w:numId w:val="1"/>
        </w:numPr>
        <w:tabs>
          <w:tab w:pos="840" w:val="left" w:leader="none"/>
        </w:tabs>
        <w:spacing w:line="360" w:lineRule="auto" w:before="0" w:after="0"/>
        <w:ind w:left="839" w:right="1198" w:hanging="720"/>
        <w:jc w:val="both"/>
        <w:rPr>
          <w:sz w:val="20"/>
        </w:rPr>
      </w:pPr>
      <w:r>
        <w:rPr>
          <w:sz w:val="20"/>
        </w:rPr>
        <w:t>I have invested in dozens of Canadian mining companies. No company I have ever invested in has prepared an in-house technical study. NI 43-101 requires all mining companies to undertake technical studies by independent “qualified persons”. I verily believe that neither GSFC nor KRN are qualified persons as that term is defined in NI 43-101. Not only is NI 43-101 the law, but it is standard Canadian business practice, and has been since</w:t>
      </w:r>
      <w:r>
        <w:rPr>
          <w:spacing w:val="-10"/>
          <w:sz w:val="20"/>
        </w:rPr>
        <w:t> </w:t>
      </w:r>
      <w:r>
        <w:rPr>
          <w:sz w:val="20"/>
        </w:rPr>
        <w:t>Bre-X.</w:t>
      </w:r>
    </w:p>
    <w:p>
      <w:pPr>
        <w:pStyle w:val="BodyText"/>
        <w:spacing w:before="11"/>
      </w:pPr>
    </w:p>
    <w:p>
      <w:pPr>
        <w:pStyle w:val="ListParagraph"/>
        <w:numPr>
          <w:ilvl w:val="0"/>
          <w:numId w:val="1"/>
        </w:numPr>
        <w:tabs>
          <w:tab w:pos="840" w:val="left" w:leader="none"/>
        </w:tabs>
        <w:spacing w:line="360" w:lineRule="auto" w:before="0" w:after="0"/>
        <w:ind w:left="838" w:right="1199" w:hanging="720"/>
        <w:jc w:val="both"/>
        <w:rPr>
          <w:sz w:val="20"/>
        </w:rPr>
      </w:pPr>
      <w:r>
        <w:rPr>
          <w:sz w:val="20"/>
        </w:rPr>
        <w:t>I am advised by Rowan, and verily believe, that Rowan does not recall authorizing GSFC to prepare, and KRN to pay GSFC to prepare, the Nitrogen</w:t>
      </w:r>
      <w:r>
        <w:rPr>
          <w:spacing w:val="-11"/>
          <w:sz w:val="20"/>
        </w:rPr>
        <w:t> </w:t>
      </w:r>
      <w:r>
        <w:rPr>
          <w:sz w:val="20"/>
        </w:rPr>
        <w:t>Study.</w:t>
      </w:r>
    </w:p>
    <w:p>
      <w:pPr>
        <w:pStyle w:val="BodyText"/>
        <w:spacing w:before="10"/>
      </w:pPr>
    </w:p>
    <w:p>
      <w:pPr>
        <w:pStyle w:val="ListParagraph"/>
        <w:numPr>
          <w:ilvl w:val="0"/>
          <w:numId w:val="1"/>
        </w:numPr>
        <w:tabs>
          <w:tab w:pos="839" w:val="left" w:leader="none"/>
        </w:tabs>
        <w:spacing w:line="360" w:lineRule="auto" w:before="0" w:after="0"/>
        <w:ind w:left="838" w:right="1197" w:hanging="721"/>
        <w:jc w:val="both"/>
        <w:rPr>
          <w:sz w:val="20"/>
        </w:rPr>
      </w:pPr>
      <w:r>
        <w:rPr>
          <w:sz w:val="20"/>
        </w:rPr>
        <w:t>Varma and Favreau insist that there is no conflict of interest. I verily believe that Varma and Favreau</w:t>
      </w:r>
      <w:r>
        <w:rPr>
          <w:spacing w:val="-13"/>
          <w:sz w:val="20"/>
        </w:rPr>
        <w:t> </w:t>
      </w:r>
      <w:r>
        <w:rPr>
          <w:sz w:val="20"/>
        </w:rPr>
        <w:t>are</w:t>
      </w:r>
      <w:r>
        <w:rPr>
          <w:spacing w:val="-14"/>
          <w:sz w:val="20"/>
        </w:rPr>
        <w:t> </w:t>
      </w:r>
      <w:r>
        <w:rPr>
          <w:sz w:val="20"/>
        </w:rPr>
        <w:t>both</w:t>
      </w:r>
      <w:r>
        <w:rPr>
          <w:spacing w:val="-13"/>
          <w:sz w:val="20"/>
        </w:rPr>
        <w:t> </w:t>
      </w:r>
      <w:r>
        <w:rPr>
          <w:sz w:val="20"/>
        </w:rPr>
        <w:t>either</w:t>
      </w:r>
      <w:r>
        <w:rPr>
          <w:spacing w:val="-13"/>
          <w:sz w:val="20"/>
        </w:rPr>
        <w:t> </w:t>
      </w:r>
      <w:r>
        <w:rPr>
          <w:sz w:val="20"/>
        </w:rPr>
        <w:t>being</w:t>
      </w:r>
      <w:r>
        <w:rPr>
          <w:spacing w:val="-13"/>
          <w:sz w:val="20"/>
        </w:rPr>
        <w:t> </w:t>
      </w:r>
      <w:r>
        <w:rPr>
          <w:sz w:val="20"/>
        </w:rPr>
        <w:t>wilfully</w:t>
      </w:r>
      <w:r>
        <w:rPr>
          <w:spacing w:val="-13"/>
          <w:sz w:val="20"/>
        </w:rPr>
        <w:t> </w:t>
      </w:r>
      <w:r>
        <w:rPr>
          <w:sz w:val="20"/>
        </w:rPr>
        <w:t>blind</w:t>
      </w:r>
      <w:r>
        <w:rPr>
          <w:spacing w:val="-13"/>
          <w:sz w:val="20"/>
        </w:rPr>
        <w:t> </w:t>
      </w:r>
      <w:r>
        <w:rPr>
          <w:sz w:val="20"/>
        </w:rPr>
        <w:t>to</w:t>
      </w:r>
      <w:r>
        <w:rPr>
          <w:spacing w:val="-13"/>
          <w:sz w:val="20"/>
        </w:rPr>
        <w:t> </w:t>
      </w:r>
      <w:r>
        <w:rPr>
          <w:sz w:val="20"/>
        </w:rPr>
        <w:t>the</w:t>
      </w:r>
      <w:r>
        <w:rPr>
          <w:spacing w:val="-14"/>
          <w:sz w:val="20"/>
        </w:rPr>
        <w:t> </w:t>
      </w:r>
      <w:r>
        <w:rPr>
          <w:sz w:val="20"/>
        </w:rPr>
        <w:t>obvious</w:t>
      </w:r>
      <w:r>
        <w:rPr>
          <w:spacing w:val="-14"/>
          <w:sz w:val="20"/>
        </w:rPr>
        <w:t> </w:t>
      </w:r>
      <w:r>
        <w:rPr>
          <w:sz w:val="20"/>
        </w:rPr>
        <w:t>conflict</w:t>
      </w:r>
      <w:r>
        <w:rPr>
          <w:spacing w:val="-14"/>
          <w:sz w:val="20"/>
        </w:rPr>
        <w:t> </w:t>
      </w:r>
      <w:r>
        <w:rPr>
          <w:sz w:val="20"/>
        </w:rPr>
        <w:t>of</w:t>
      </w:r>
      <w:r>
        <w:rPr>
          <w:spacing w:val="-14"/>
          <w:sz w:val="20"/>
        </w:rPr>
        <w:t> </w:t>
      </w:r>
      <w:r>
        <w:rPr>
          <w:sz w:val="20"/>
        </w:rPr>
        <w:t>interest</w:t>
      </w:r>
      <w:r>
        <w:rPr>
          <w:spacing w:val="-14"/>
          <w:sz w:val="20"/>
        </w:rPr>
        <w:t> </w:t>
      </w:r>
      <w:r>
        <w:rPr>
          <w:sz w:val="20"/>
        </w:rPr>
        <w:t>and</w:t>
      </w:r>
      <w:r>
        <w:rPr>
          <w:spacing w:val="-15"/>
          <w:sz w:val="20"/>
        </w:rPr>
        <w:t> </w:t>
      </w:r>
      <w:r>
        <w:rPr>
          <w:sz w:val="20"/>
        </w:rPr>
        <w:t>self-dealing,</w:t>
      </w:r>
      <w:r>
        <w:rPr>
          <w:spacing w:val="-14"/>
          <w:sz w:val="20"/>
        </w:rPr>
        <w:t> </w:t>
      </w:r>
      <w:r>
        <w:rPr>
          <w:sz w:val="20"/>
        </w:rPr>
        <w:t>and/or are intentionally lying to me, and to the Canadian capital markets, about the conflict of</w:t>
      </w:r>
      <w:r>
        <w:rPr>
          <w:spacing w:val="-35"/>
          <w:sz w:val="20"/>
        </w:rPr>
        <w:t> </w:t>
      </w:r>
      <w:r>
        <w:rPr>
          <w:sz w:val="20"/>
        </w:rPr>
        <w:t>interest.</w:t>
      </w:r>
    </w:p>
    <w:p>
      <w:pPr>
        <w:pStyle w:val="BodyText"/>
        <w:spacing w:before="10"/>
      </w:pPr>
    </w:p>
    <w:p>
      <w:pPr>
        <w:pStyle w:val="ListParagraph"/>
        <w:numPr>
          <w:ilvl w:val="0"/>
          <w:numId w:val="1"/>
        </w:numPr>
        <w:tabs>
          <w:tab w:pos="839" w:val="left" w:leader="none"/>
        </w:tabs>
        <w:spacing w:line="360" w:lineRule="auto" w:before="0" w:after="0"/>
        <w:ind w:left="838" w:right="1198" w:hanging="720"/>
        <w:jc w:val="both"/>
        <w:rPr>
          <w:sz w:val="20"/>
        </w:rPr>
      </w:pPr>
      <w:r>
        <w:rPr>
          <w:sz w:val="20"/>
        </w:rPr>
        <w:t>I verily believe that the GSFC Nominees on the KRN Board, Varma, Nanavaty and Anjaria, made no</w:t>
      </w:r>
      <w:r>
        <w:rPr>
          <w:spacing w:val="-16"/>
          <w:sz w:val="20"/>
        </w:rPr>
        <w:t> </w:t>
      </w:r>
      <w:r>
        <w:rPr>
          <w:sz w:val="20"/>
        </w:rPr>
        <w:t>attempt</w:t>
      </w:r>
      <w:r>
        <w:rPr>
          <w:spacing w:val="-15"/>
          <w:sz w:val="20"/>
        </w:rPr>
        <w:t> </w:t>
      </w:r>
      <w:r>
        <w:rPr>
          <w:sz w:val="20"/>
        </w:rPr>
        <w:t>to</w:t>
      </w:r>
      <w:r>
        <w:rPr>
          <w:spacing w:val="-15"/>
          <w:sz w:val="20"/>
        </w:rPr>
        <w:t> </w:t>
      </w:r>
      <w:r>
        <w:rPr>
          <w:sz w:val="20"/>
        </w:rPr>
        <w:t>avoid</w:t>
      </w:r>
      <w:r>
        <w:rPr>
          <w:spacing w:val="-15"/>
          <w:sz w:val="20"/>
        </w:rPr>
        <w:t> </w:t>
      </w:r>
      <w:r>
        <w:rPr>
          <w:sz w:val="20"/>
        </w:rPr>
        <w:t>the</w:t>
      </w:r>
      <w:r>
        <w:rPr>
          <w:spacing w:val="-15"/>
          <w:sz w:val="20"/>
        </w:rPr>
        <w:t> </w:t>
      </w:r>
      <w:r>
        <w:rPr>
          <w:sz w:val="20"/>
        </w:rPr>
        <w:t>conflict</w:t>
      </w:r>
      <w:r>
        <w:rPr>
          <w:spacing w:val="-16"/>
          <w:sz w:val="20"/>
        </w:rPr>
        <w:t> </w:t>
      </w:r>
      <w:r>
        <w:rPr>
          <w:sz w:val="20"/>
        </w:rPr>
        <w:t>of</w:t>
      </w:r>
      <w:r>
        <w:rPr>
          <w:spacing w:val="-15"/>
          <w:sz w:val="20"/>
        </w:rPr>
        <w:t> </w:t>
      </w:r>
      <w:r>
        <w:rPr>
          <w:sz w:val="20"/>
        </w:rPr>
        <w:t>interest,</w:t>
      </w:r>
      <w:r>
        <w:rPr>
          <w:spacing w:val="-17"/>
          <w:sz w:val="20"/>
        </w:rPr>
        <w:t> </w:t>
      </w:r>
      <w:r>
        <w:rPr>
          <w:sz w:val="20"/>
        </w:rPr>
        <w:t>made</w:t>
      </w:r>
      <w:r>
        <w:rPr>
          <w:spacing w:val="-15"/>
          <w:sz w:val="20"/>
        </w:rPr>
        <w:t> </w:t>
      </w:r>
      <w:r>
        <w:rPr>
          <w:sz w:val="20"/>
        </w:rPr>
        <w:t>no</w:t>
      </w:r>
      <w:r>
        <w:rPr>
          <w:spacing w:val="-16"/>
          <w:sz w:val="20"/>
        </w:rPr>
        <w:t> </w:t>
      </w:r>
      <w:r>
        <w:rPr>
          <w:sz w:val="20"/>
        </w:rPr>
        <w:t>attempt</w:t>
      </w:r>
      <w:r>
        <w:rPr>
          <w:spacing w:val="-15"/>
          <w:sz w:val="20"/>
        </w:rPr>
        <w:t> </w:t>
      </w:r>
      <w:r>
        <w:rPr>
          <w:sz w:val="20"/>
        </w:rPr>
        <w:t>to</w:t>
      </w:r>
      <w:r>
        <w:rPr>
          <w:spacing w:val="-15"/>
          <w:sz w:val="20"/>
        </w:rPr>
        <w:t> </w:t>
      </w:r>
      <w:r>
        <w:rPr>
          <w:sz w:val="20"/>
        </w:rPr>
        <w:t>recuse</w:t>
      </w:r>
      <w:r>
        <w:rPr>
          <w:spacing w:val="-16"/>
          <w:sz w:val="20"/>
        </w:rPr>
        <w:t> </w:t>
      </w:r>
      <w:r>
        <w:rPr>
          <w:sz w:val="20"/>
        </w:rPr>
        <w:t>themselves</w:t>
      </w:r>
      <w:r>
        <w:rPr>
          <w:spacing w:val="-14"/>
          <w:sz w:val="20"/>
        </w:rPr>
        <w:t> </w:t>
      </w:r>
      <w:r>
        <w:rPr>
          <w:sz w:val="20"/>
        </w:rPr>
        <w:t>from</w:t>
      </w:r>
      <w:r>
        <w:rPr>
          <w:spacing w:val="-15"/>
          <w:sz w:val="20"/>
        </w:rPr>
        <w:t> </w:t>
      </w:r>
      <w:r>
        <w:rPr>
          <w:sz w:val="20"/>
        </w:rPr>
        <w:t>the</w:t>
      </w:r>
      <w:r>
        <w:rPr>
          <w:spacing w:val="-15"/>
          <w:sz w:val="20"/>
        </w:rPr>
        <w:t> </w:t>
      </w:r>
      <w:r>
        <w:rPr>
          <w:sz w:val="20"/>
        </w:rPr>
        <w:t>decision- making process, and embraced self-dealing by authorizing, as members of the KRN Board, KRN to pay GSFC to prepare the Nitrogen</w:t>
      </w:r>
      <w:r>
        <w:rPr>
          <w:spacing w:val="-6"/>
          <w:sz w:val="20"/>
        </w:rPr>
        <w:t> </w:t>
      </w:r>
      <w:r>
        <w:rPr>
          <w:sz w:val="20"/>
        </w:rPr>
        <w:t>Study.</w:t>
      </w:r>
    </w:p>
    <w:p>
      <w:pPr>
        <w:spacing w:after="0" w:line="360" w:lineRule="auto"/>
        <w:jc w:val="both"/>
        <w:rPr>
          <w:sz w:val="20"/>
        </w:rPr>
        <w:sectPr>
          <w:footerReference w:type="default" r:id="rId12"/>
          <w:pgSz w:w="12240" w:h="15840"/>
          <w:pgMar w:footer="971" w:header="0" w:top="1220" w:bottom="1160" w:left="1320" w:right="240"/>
          <w:pgNumType w:start="19"/>
        </w:sectPr>
      </w:pPr>
    </w:p>
    <w:p>
      <w:pPr>
        <w:pStyle w:val="ListParagraph"/>
        <w:numPr>
          <w:ilvl w:val="0"/>
          <w:numId w:val="1"/>
        </w:numPr>
        <w:tabs>
          <w:tab w:pos="841" w:val="left" w:leader="none"/>
        </w:tabs>
        <w:spacing w:line="360" w:lineRule="auto" w:before="75" w:after="0"/>
        <w:ind w:left="840" w:right="1196" w:hanging="721"/>
        <w:jc w:val="both"/>
        <w:rPr>
          <w:sz w:val="20"/>
        </w:rPr>
      </w:pPr>
      <w:r>
        <w:rPr>
          <w:sz w:val="20"/>
        </w:rPr>
        <w:t>I</w:t>
      </w:r>
      <w:r>
        <w:rPr>
          <w:spacing w:val="-8"/>
          <w:sz w:val="20"/>
        </w:rPr>
        <w:t> </w:t>
      </w:r>
      <w:r>
        <w:rPr>
          <w:sz w:val="20"/>
        </w:rPr>
        <w:t>verily</w:t>
      </w:r>
      <w:r>
        <w:rPr>
          <w:spacing w:val="-7"/>
          <w:sz w:val="20"/>
        </w:rPr>
        <w:t> </w:t>
      </w:r>
      <w:r>
        <w:rPr>
          <w:sz w:val="20"/>
        </w:rPr>
        <w:t>believe</w:t>
      </w:r>
      <w:r>
        <w:rPr>
          <w:spacing w:val="-6"/>
          <w:sz w:val="20"/>
        </w:rPr>
        <w:t> </w:t>
      </w:r>
      <w:r>
        <w:rPr>
          <w:sz w:val="20"/>
        </w:rPr>
        <w:t>that</w:t>
      </w:r>
      <w:r>
        <w:rPr>
          <w:spacing w:val="-8"/>
          <w:sz w:val="20"/>
        </w:rPr>
        <w:t> </w:t>
      </w:r>
      <w:r>
        <w:rPr>
          <w:sz w:val="20"/>
        </w:rPr>
        <w:t>GSFC</w:t>
      </w:r>
      <w:r>
        <w:rPr>
          <w:spacing w:val="-6"/>
          <w:sz w:val="20"/>
        </w:rPr>
        <w:t> </w:t>
      </w:r>
      <w:r>
        <w:rPr>
          <w:sz w:val="20"/>
        </w:rPr>
        <w:t>preparing</w:t>
      </w:r>
      <w:r>
        <w:rPr>
          <w:spacing w:val="-7"/>
          <w:sz w:val="20"/>
        </w:rPr>
        <w:t> </w:t>
      </w:r>
      <w:r>
        <w:rPr>
          <w:sz w:val="20"/>
        </w:rPr>
        <w:t>the</w:t>
      </w:r>
      <w:r>
        <w:rPr>
          <w:spacing w:val="-6"/>
          <w:sz w:val="20"/>
        </w:rPr>
        <w:t> </w:t>
      </w:r>
      <w:r>
        <w:rPr>
          <w:sz w:val="20"/>
        </w:rPr>
        <w:t>Nitrogen</w:t>
      </w:r>
      <w:r>
        <w:rPr>
          <w:spacing w:val="-7"/>
          <w:sz w:val="20"/>
        </w:rPr>
        <w:t> </w:t>
      </w:r>
      <w:r>
        <w:rPr>
          <w:sz w:val="20"/>
        </w:rPr>
        <w:t>Study</w:t>
      </w:r>
      <w:r>
        <w:rPr>
          <w:spacing w:val="-6"/>
          <w:sz w:val="20"/>
        </w:rPr>
        <w:t> </w:t>
      </w:r>
      <w:r>
        <w:rPr>
          <w:sz w:val="20"/>
        </w:rPr>
        <w:t>is</w:t>
      </w:r>
      <w:r>
        <w:rPr>
          <w:spacing w:val="-7"/>
          <w:sz w:val="20"/>
        </w:rPr>
        <w:t> </w:t>
      </w:r>
      <w:r>
        <w:rPr>
          <w:sz w:val="20"/>
        </w:rPr>
        <w:t>an</w:t>
      </w:r>
      <w:r>
        <w:rPr>
          <w:spacing w:val="-6"/>
          <w:sz w:val="20"/>
        </w:rPr>
        <w:t> </w:t>
      </w:r>
      <w:r>
        <w:rPr>
          <w:sz w:val="20"/>
        </w:rPr>
        <w:t>example</w:t>
      </w:r>
      <w:r>
        <w:rPr>
          <w:spacing w:val="-7"/>
          <w:sz w:val="20"/>
        </w:rPr>
        <w:t> </w:t>
      </w:r>
      <w:r>
        <w:rPr>
          <w:sz w:val="20"/>
        </w:rPr>
        <w:t>of</w:t>
      </w:r>
      <w:r>
        <w:rPr>
          <w:spacing w:val="-7"/>
          <w:sz w:val="20"/>
        </w:rPr>
        <w:t> </w:t>
      </w:r>
      <w:r>
        <w:rPr>
          <w:sz w:val="20"/>
        </w:rPr>
        <w:t>how</w:t>
      </w:r>
      <w:r>
        <w:rPr>
          <w:spacing w:val="-7"/>
          <w:sz w:val="20"/>
        </w:rPr>
        <w:t> </w:t>
      </w:r>
      <w:r>
        <w:rPr>
          <w:sz w:val="20"/>
        </w:rPr>
        <w:t>the</w:t>
      </w:r>
      <w:r>
        <w:rPr>
          <w:spacing w:val="-6"/>
          <w:sz w:val="20"/>
        </w:rPr>
        <w:t> </w:t>
      </w:r>
      <w:r>
        <w:rPr>
          <w:sz w:val="20"/>
        </w:rPr>
        <w:t>GSFC</w:t>
      </w:r>
      <w:r>
        <w:rPr>
          <w:spacing w:val="-7"/>
          <w:sz w:val="20"/>
        </w:rPr>
        <w:t> </w:t>
      </w:r>
      <w:r>
        <w:rPr>
          <w:sz w:val="20"/>
        </w:rPr>
        <w:t>Nominees are conducting the business of KRN in accordance with Indian business practices, rather than Canadian business practices. If the GSFC Nominees had wanted to conduct the business of KRN in accordance with standard Canadian business practices, then I verily believe they would have hired an independent, qualified, engineering firm with experience in nitrogen fertilizer plants in Canada, to undertake technical studies on the Nitrogen Project, rather than hiring</w:t>
      </w:r>
      <w:r>
        <w:rPr>
          <w:spacing w:val="-25"/>
          <w:sz w:val="20"/>
        </w:rPr>
        <w:t> </w:t>
      </w:r>
      <w:r>
        <w:rPr>
          <w:sz w:val="20"/>
        </w:rPr>
        <w:t>GSFC.</w:t>
      </w:r>
    </w:p>
    <w:p>
      <w:pPr>
        <w:pStyle w:val="BodyText"/>
        <w:spacing w:before="11"/>
      </w:pPr>
    </w:p>
    <w:p>
      <w:pPr>
        <w:pStyle w:val="Heading1"/>
        <w:ind w:left="119" w:firstLine="0"/>
        <w:rPr>
          <w:u w:val="none"/>
        </w:rPr>
      </w:pPr>
      <w:r>
        <w:rPr>
          <w:u w:val="none"/>
        </w:rPr>
        <w:t>My Reasonable Expectations – Conflicts of Interest</w:t>
      </w:r>
    </w:p>
    <w:p>
      <w:pPr>
        <w:pStyle w:val="BodyText"/>
        <w:spacing w:before="9"/>
        <w:rPr>
          <w:b/>
          <w:sz w:val="30"/>
        </w:rPr>
      </w:pPr>
    </w:p>
    <w:p>
      <w:pPr>
        <w:pStyle w:val="ListParagraph"/>
        <w:numPr>
          <w:ilvl w:val="0"/>
          <w:numId w:val="1"/>
        </w:numPr>
        <w:tabs>
          <w:tab w:pos="840" w:val="left" w:leader="none"/>
        </w:tabs>
        <w:spacing w:line="360" w:lineRule="auto" w:before="0" w:after="0"/>
        <w:ind w:left="839" w:right="1196" w:hanging="721"/>
        <w:jc w:val="both"/>
        <w:rPr>
          <w:sz w:val="20"/>
        </w:rPr>
      </w:pPr>
      <w:r>
        <w:rPr>
          <w:sz w:val="20"/>
        </w:rPr>
        <w:t>My reasonable expectations that the KRN Board and management would comply with the KRN Code to avoid conflicts of interest, and where they arise, not be involved in any related decision- making process, were not met when the GSFC Nominees both recommended and authorized GSFC to prepare the Nitrogen Study at KRN’s</w:t>
      </w:r>
      <w:r>
        <w:rPr>
          <w:spacing w:val="-11"/>
          <w:sz w:val="20"/>
        </w:rPr>
        <w:t> </w:t>
      </w:r>
      <w:r>
        <w:rPr>
          <w:sz w:val="20"/>
        </w:rPr>
        <w:t>cost.</w:t>
      </w:r>
    </w:p>
    <w:p>
      <w:pPr>
        <w:pStyle w:val="BodyText"/>
        <w:spacing w:before="11"/>
      </w:pPr>
    </w:p>
    <w:p>
      <w:pPr>
        <w:pStyle w:val="Heading1"/>
        <w:ind w:left="119" w:firstLine="0"/>
        <w:rPr>
          <w:u w:val="none"/>
        </w:rPr>
      </w:pPr>
      <w:r>
        <w:rPr>
          <w:u w:val="none"/>
        </w:rPr>
        <w:t>Actions by Me as a Concerned Shareholder</w:t>
      </w:r>
    </w:p>
    <w:p>
      <w:pPr>
        <w:pStyle w:val="BodyText"/>
        <w:spacing w:before="10"/>
        <w:rPr>
          <w:b/>
          <w:sz w:val="30"/>
        </w:rPr>
      </w:pPr>
    </w:p>
    <w:p>
      <w:pPr>
        <w:pStyle w:val="ListParagraph"/>
        <w:numPr>
          <w:ilvl w:val="0"/>
          <w:numId w:val="6"/>
        </w:numPr>
        <w:tabs>
          <w:tab w:pos="839" w:val="left" w:leader="none"/>
          <w:tab w:pos="841" w:val="left" w:leader="none"/>
        </w:tabs>
        <w:spacing w:line="240" w:lineRule="auto" w:before="0" w:after="0"/>
        <w:ind w:left="840" w:right="0" w:hanging="721"/>
        <w:jc w:val="left"/>
        <w:rPr>
          <w:b/>
          <w:sz w:val="20"/>
        </w:rPr>
      </w:pPr>
      <w:r>
        <w:rPr>
          <w:b/>
          <w:sz w:val="20"/>
          <w:u w:val="thick"/>
        </w:rPr>
        <w:t>Frustration as a</w:t>
      </w:r>
      <w:r>
        <w:rPr>
          <w:b/>
          <w:spacing w:val="-4"/>
          <w:sz w:val="20"/>
          <w:u w:val="thick"/>
        </w:rPr>
        <w:t> </w:t>
      </w:r>
      <w:r>
        <w:rPr>
          <w:b/>
          <w:sz w:val="20"/>
          <w:u w:val="thick"/>
        </w:rPr>
        <w:t>Shareholder</w:t>
      </w:r>
    </w:p>
    <w:p>
      <w:pPr>
        <w:pStyle w:val="BodyText"/>
        <w:spacing w:before="7"/>
        <w:rPr>
          <w:b/>
          <w:sz w:val="22"/>
        </w:rPr>
      </w:pPr>
    </w:p>
    <w:p>
      <w:pPr>
        <w:pStyle w:val="ListParagraph"/>
        <w:numPr>
          <w:ilvl w:val="0"/>
          <w:numId w:val="1"/>
        </w:numPr>
        <w:tabs>
          <w:tab w:pos="841" w:val="left" w:leader="none"/>
        </w:tabs>
        <w:spacing w:line="360" w:lineRule="auto" w:before="94" w:after="0"/>
        <w:ind w:left="840" w:right="1197" w:hanging="721"/>
        <w:jc w:val="both"/>
        <w:rPr>
          <w:sz w:val="20"/>
        </w:rPr>
      </w:pPr>
      <w:r>
        <w:rPr>
          <w:sz w:val="20"/>
        </w:rPr>
        <w:t>By June 2020, after the 2020 AGM, I was extremely frustrated by the actions of the GSFC Nominees and Favreau, which I verily believe are oppressive and prejudicial to my interests as a shareholder of KRN,</w:t>
      </w:r>
      <w:r>
        <w:rPr>
          <w:spacing w:val="-4"/>
          <w:sz w:val="20"/>
        </w:rPr>
        <w:t> </w:t>
      </w:r>
      <w:r>
        <w:rPr>
          <w:sz w:val="20"/>
        </w:rPr>
        <w:t>including:</w:t>
      </w:r>
    </w:p>
    <w:p>
      <w:pPr>
        <w:pStyle w:val="BodyText"/>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sz w:val="20"/>
        </w:rPr>
      </w:pPr>
      <w:r>
        <w:rPr>
          <w:sz w:val="20"/>
        </w:rPr>
        <w:t>the GSFC Nominee’s control of the KRN Board since January</w:t>
      </w:r>
      <w:r>
        <w:rPr>
          <w:spacing w:val="-11"/>
          <w:sz w:val="20"/>
        </w:rPr>
        <w:t> </w:t>
      </w:r>
      <w:r>
        <w:rPr>
          <w:sz w:val="20"/>
        </w:rPr>
        <w:t>2019;</w:t>
      </w:r>
    </w:p>
    <w:p>
      <w:pPr>
        <w:pStyle w:val="BodyText"/>
        <w:spacing w:before="8"/>
        <w:rPr>
          <w:sz w:val="30"/>
        </w:rPr>
      </w:pPr>
    </w:p>
    <w:p>
      <w:pPr>
        <w:pStyle w:val="ListParagraph"/>
        <w:numPr>
          <w:ilvl w:val="1"/>
          <w:numId w:val="1"/>
        </w:numPr>
        <w:tabs>
          <w:tab w:pos="1559" w:val="left" w:leader="none"/>
          <w:tab w:pos="1561" w:val="left" w:leader="none"/>
        </w:tabs>
        <w:spacing w:line="350" w:lineRule="auto" w:before="0" w:after="0"/>
        <w:ind w:left="1560" w:right="1196" w:hanging="721"/>
        <w:jc w:val="both"/>
        <w:rPr>
          <w:sz w:val="20"/>
        </w:rPr>
      </w:pPr>
      <w:r>
        <w:rPr>
          <w:sz w:val="20"/>
        </w:rPr>
        <w:t>the GSFC Nominee’s failure to properly constitute the KRN Board with a majority of independent</w:t>
      </w:r>
      <w:r>
        <w:rPr>
          <w:spacing w:val="-2"/>
          <w:sz w:val="20"/>
        </w:rPr>
        <w:t> </w:t>
      </w:r>
      <w:r>
        <w:rPr>
          <w:sz w:val="20"/>
        </w:rPr>
        <w:t>directors;</w:t>
      </w:r>
    </w:p>
    <w:p>
      <w:pPr>
        <w:pStyle w:val="BodyText"/>
        <w:spacing w:before="8"/>
        <w:rPr>
          <w:sz w:val="21"/>
        </w:rPr>
      </w:pPr>
    </w:p>
    <w:p>
      <w:pPr>
        <w:pStyle w:val="ListParagraph"/>
        <w:numPr>
          <w:ilvl w:val="1"/>
          <w:numId w:val="1"/>
        </w:numPr>
        <w:tabs>
          <w:tab w:pos="1559" w:val="left" w:leader="none"/>
          <w:tab w:pos="1561" w:val="left" w:leader="none"/>
        </w:tabs>
        <w:spacing w:line="350" w:lineRule="auto" w:before="0" w:after="0"/>
        <w:ind w:left="1560" w:right="1198" w:hanging="721"/>
        <w:jc w:val="both"/>
        <w:rPr>
          <w:sz w:val="20"/>
        </w:rPr>
      </w:pPr>
      <w:r>
        <w:rPr>
          <w:sz w:val="20"/>
        </w:rPr>
        <w:t>the total lack of progress on the Nitrogen Project since the GSFC Nominees terminated Wheatley;</w:t>
      </w:r>
    </w:p>
    <w:p>
      <w:pPr>
        <w:pStyle w:val="BodyText"/>
        <w:spacing w:before="10"/>
        <w:rPr>
          <w:sz w:val="21"/>
        </w:rPr>
      </w:pPr>
    </w:p>
    <w:p>
      <w:pPr>
        <w:pStyle w:val="ListParagraph"/>
        <w:numPr>
          <w:ilvl w:val="1"/>
          <w:numId w:val="1"/>
        </w:numPr>
        <w:tabs>
          <w:tab w:pos="1559" w:val="left" w:leader="none"/>
          <w:tab w:pos="1561" w:val="left" w:leader="none"/>
        </w:tabs>
        <w:spacing w:line="350" w:lineRule="auto" w:before="0" w:after="0"/>
        <w:ind w:left="1559" w:right="1199" w:hanging="720"/>
        <w:jc w:val="both"/>
        <w:rPr>
          <w:sz w:val="20"/>
        </w:rPr>
      </w:pPr>
      <w:r>
        <w:rPr>
          <w:sz w:val="20"/>
        </w:rPr>
        <w:t>KRN not spending virtually any of the monies raised under the Rights Offering to advance the Nitrogen</w:t>
      </w:r>
      <w:r>
        <w:rPr>
          <w:spacing w:val="-4"/>
          <w:sz w:val="20"/>
        </w:rPr>
        <w:t> </w:t>
      </w:r>
      <w:r>
        <w:rPr>
          <w:sz w:val="20"/>
        </w:rPr>
        <w:t>Project;</w:t>
      </w:r>
    </w:p>
    <w:p>
      <w:pPr>
        <w:pStyle w:val="BodyText"/>
        <w:spacing w:before="8"/>
        <w:rPr>
          <w:sz w:val="21"/>
        </w:rPr>
      </w:pPr>
    </w:p>
    <w:p>
      <w:pPr>
        <w:pStyle w:val="ListParagraph"/>
        <w:numPr>
          <w:ilvl w:val="1"/>
          <w:numId w:val="1"/>
        </w:numPr>
        <w:tabs>
          <w:tab w:pos="1559" w:val="left" w:leader="none"/>
          <w:tab w:pos="1560" w:val="left" w:leader="none"/>
        </w:tabs>
        <w:spacing w:line="355" w:lineRule="auto" w:before="0" w:after="0"/>
        <w:ind w:left="1559" w:right="1196" w:hanging="721"/>
        <w:jc w:val="both"/>
        <w:rPr>
          <w:sz w:val="20"/>
        </w:rPr>
      </w:pPr>
      <w:r>
        <w:rPr>
          <w:sz w:val="20"/>
        </w:rPr>
        <w:t>the GSFC Nominees conducting the busines of KRN in accordance with Indian business practices,</w:t>
      </w:r>
      <w:r>
        <w:rPr>
          <w:spacing w:val="-17"/>
          <w:sz w:val="20"/>
        </w:rPr>
        <w:t> </w:t>
      </w:r>
      <w:r>
        <w:rPr>
          <w:sz w:val="20"/>
        </w:rPr>
        <w:t>rather</w:t>
      </w:r>
      <w:r>
        <w:rPr>
          <w:spacing w:val="-17"/>
          <w:sz w:val="20"/>
        </w:rPr>
        <w:t> </w:t>
      </w:r>
      <w:r>
        <w:rPr>
          <w:sz w:val="20"/>
        </w:rPr>
        <w:t>than</w:t>
      </w:r>
      <w:r>
        <w:rPr>
          <w:spacing w:val="-16"/>
          <w:sz w:val="20"/>
        </w:rPr>
        <w:t> </w:t>
      </w:r>
      <w:r>
        <w:rPr>
          <w:sz w:val="20"/>
        </w:rPr>
        <w:t>Canadian</w:t>
      </w:r>
      <w:r>
        <w:rPr>
          <w:spacing w:val="-17"/>
          <w:sz w:val="20"/>
        </w:rPr>
        <w:t> </w:t>
      </w:r>
      <w:r>
        <w:rPr>
          <w:sz w:val="20"/>
        </w:rPr>
        <w:t>business</w:t>
      </w:r>
      <w:r>
        <w:rPr>
          <w:spacing w:val="-15"/>
          <w:sz w:val="20"/>
        </w:rPr>
        <w:t> </w:t>
      </w:r>
      <w:r>
        <w:rPr>
          <w:sz w:val="20"/>
        </w:rPr>
        <w:t>practices,</w:t>
      </w:r>
      <w:r>
        <w:rPr>
          <w:spacing w:val="-17"/>
          <w:sz w:val="20"/>
        </w:rPr>
        <w:t> </w:t>
      </w:r>
      <w:r>
        <w:rPr>
          <w:sz w:val="20"/>
        </w:rPr>
        <w:t>with</w:t>
      </w:r>
      <w:r>
        <w:rPr>
          <w:spacing w:val="-16"/>
          <w:sz w:val="20"/>
        </w:rPr>
        <w:t> </w:t>
      </w:r>
      <w:r>
        <w:rPr>
          <w:sz w:val="20"/>
        </w:rPr>
        <w:t>the</w:t>
      </w:r>
      <w:r>
        <w:rPr>
          <w:spacing w:val="-17"/>
          <w:sz w:val="20"/>
        </w:rPr>
        <w:t> </w:t>
      </w:r>
      <w:r>
        <w:rPr>
          <w:sz w:val="20"/>
        </w:rPr>
        <w:t>Nitrogen</w:t>
      </w:r>
      <w:r>
        <w:rPr>
          <w:spacing w:val="-16"/>
          <w:sz w:val="20"/>
        </w:rPr>
        <w:t> </w:t>
      </w:r>
      <w:r>
        <w:rPr>
          <w:sz w:val="20"/>
        </w:rPr>
        <w:t>Study</w:t>
      </w:r>
      <w:r>
        <w:rPr>
          <w:spacing w:val="-16"/>
          <w:sz w:val="20"/>
        </w:rPr>
        <w:t> </w:t>
      </w:r>
      <w:r>
        <w:rPr>
          <w:sz w:val="20"/>
        </w:rPr>
        <w:t>as</w:t>
      </w:r>
      <w:r>
        <w:rPr>
          <w:spacing w:val="-16"/>
          <w:sz w:val="20"/>
        </w:rPr>
        <w:t> </w:t>
      </w:r>
      <w:r>
        <w:rPr>
          <w:sz w:val="20"/>
        </w:rPr>
        <w:t>an</w:t>
      </w:r>
      <w:r>
        <w:rPr>
          <w:spacing w:val="-17"/>
          <w:sz w:val="20"/>
        </w:rPr>
        <w:t> </w:t>
      </w:r>
      <w:r>
        <w:rPr>
          <w:sz w:val="20"/>
        </w:rPr>
        <w:t>example; and</w:t>
      </w:r>
    </w:p>
    <w:p>
      <w:pPr>
        <w:pStyle w:val="BodyText"/>
        <w:spacing w:before="4"/>
        <w:rPr>
          <w:sz w:val="21"/>
        </w:rPr>
      </w:pPr>
    </w:p>
    <w:p>
      <w:pPr>
        <w:pStyle w:val="ListParagraph"/>
        <w:numPr>
          <w:ilvl w:val="1"/>
          <w:numId w:val="1"/>
        </w:numPr>
        <w:tabs>
          <w:tab w:pos="1559" w:val="left" w:leader="none"/>
          <w:tab w:pos="1561" w:val="left" w:leader="none"/>
        </w:tabs>
        <w:spacing w:line="240" w:lineRule="auto" w:before="0" w:after="0"/>
        <w:ind w:left="1560" w:right="0" w:hanging="721"/>
        <w:jc w:val="left"/>
        <w:rPr>
          <w:sz w:val="20"/>
        </w:rPr>
      </w:pPr>
      <w:r>
        <w:rPr>
          <w:sz w:val="20"/>
        </w:rPr>
        <w:t>hiring Favreau as the Interim</w:t>
      </w:r>
      <w:r>
        <w:rPr>
          <w:spacing w:val="-5"/>
          <w:sz w:val="20"/>
        </w:rPr>
        <w:t> </w:t>
      </w:r>
      <w:r>
        <w:rPr>
          <w:sz w:val="20"/>
        </w:rPr>
        <w:t>CEO.</w:t>
      </w:r>
    </w:p>
    <w:p>
      <w:pPr>
        <w:spacing w:after="0" w:line="240" w:lineRule="auto"/>
        <w:jc w:val="left"/>
        <w:rPr>
          <w:sz w:val="20"/>
        </w:rPr>
        <w:sectPr>
          <w:pgSz w:w="12240" w:h="15840"/>
          <w:pgMar w:header="0" w:footer="971" w:top="1220" w:bottom="1160" w:left="1320" w:right="240"/>
        </w:sectPr>
      </w:pPr>
    </w:p>
    <w:p>
      <w:pPr>
        <w:pStyle w:val="ListParagraph"/>
        <w:numPr>
          <w:ilvl w:val="0"/>
          <w:numId w:val="1"/>
        </w:numPr>
        <w:tabs>
          <w:tab w:pos="841" w:val="left" w:leader="none"/>
        </w:tabs>
        <w:spacing w:line="360" w:lineRule="auto" w:before="75" w:after="0"/>
        <w:ind w:left="840" w:right="1196" w:hanging="721"/>
        <w:jc w:val="both"/>
        <w:rPr>
          <w:sz w:val="20"/>
        </w:rPr>
      </w:pPr>
      <w:r>
        <w:rPr>
          <w:sz w:val="20"/>
        </w:rPr>
        <w:t>I verily believe that the GSFC Nominees and Favreau were entrenched, did not have a business strategy for KRN, did not appear to be trying to move the business forward, and were not creating any value for me, or any other shareholders, of</w:t>
      </w:r>
      <w:r>
        <w:rPr>
          <w:spacing w:val="-7"/>
          <w:sz w:val="20"/>
        </w:rPr>
        <w:t> </w:t>
      </w:r>
      <w:r>
        <w:rPr>
          <w:sz w:val="20"/>
        </w:rPr>
        <w:t>KRN.</w:t>
      </w:r>
    </w:p>
    <w:p>
      <w:pPr>
        <w:pStyle w:val="BodyText"/>
        <w:spacing w:before="10"/>
      </w:pPr>
    </w:p>
    <w:p>
      <w:pPr>
        <w:pStyle w:val="ListParagraph"/>
        <w:numPr>
          <w:ilvl w:val="0"/>
          <w:numId w:val="1"/>
        </w:numPr>
        <w:tabs>
          <w:tab w:pos="841" w:val="left" w:leader="none"/>
        </w:tabs>
        <w:spacing w:line="360" w:lineRule="auto" w:before="0" w:after="0"/>
        <w:ind w:left="840" w:right="1196" w:hanging="721"/>
        <w:jc w:val="both"/>
        <w:rPr>
          <w:sz w:val="20"/>
        </w:rPr>
      </w:pPr>
      <w:r>
        <w:rPr>
          <w:sz w:val="20"/>
        </w:rPr>
        <w:t>I discussed my frustration with Greg Szabo and Rowan, and we discussed the opportunities and alternatives available to us as shareholders to somehow change the status quo. Given we were large shareholders of KRN, we had the right to requisition a meeting of shareholders of</w:t>
      </w:r>
      <w:r>
        <w:rPr>
          <w:spacing w:val="-27"/>
          <w:sz w:val="20"/>
        </w:rPr>
        <w:t> </w:t>
      </w:r>
      <w:r>
        <w:rPr>
          <w:sz w:val="20"/>
        </w:rPr>
        <w:t>KRN.</w:t>
      </w:r>
    </w:p>
    <w:p>
      <w:pPr>
        <w:pStyle w:val="BodyText"/>
        <w:spacing w:before="10"/>
      </w:pPr>
    </w:p>
    <w:p>
      <w:pPr>
        <w:pStyle w:val="Heading1"/>
        <w:numPr>
          <w:ilvl w:val="0"/>
          <w:numId w:val="6"/>
        </w:numPr>
        <w:tabs>
          <w:tab w:pos="839" w:val="left" w:leader="none"/>
          <w:tab w:pos="841" w:val="left" w:leader="none"/>
        </w:tabs>
        <w:spacing w:line="240" w:lineRule="auto" w:before="1" w:after="0"/>
        <w:ind w:left="840" w:right="0" w:hanging="721"/>
        <w:jc w:val="left"/>
        <w:rPr>
          <w:u w:val="none"/>
        </w:rPr>
      </w:pPr>
      <w:r>
        <w:rPr>
          <w:u w:val="thick"/>
        </w:rPr>
        <w:t>Requisition of Special</w:t>
      </w:r>
      <w:r>
        <w:rPr>
          <w:spacing w:val="-3"/>
          <w:u w:val="thick"/>
        </w:rPr>
        <w:t> </w:t>
      </w:r>
      <w:r>
        <w:rPr>
          <w:u w:val="thick"/>
        </w:rPr>
        <w:t>Meeting</w:t>
      </w:r>
    </w:p>
    <w:p>
      <w:pPr>
        <w:pStyle w:val="BodyText"/>
        <w:spacing w:before="7"/>
        <w:rPr>
          <w:b/>
          <w:sz w:val="22"/>
        </w:rPr>
      </w:pPr>
    </w:p>
    <w:p>
      <w:pPr>
        <w:pStyle w:val="ListParagraph"/>
        <w:numPr>
          <w:ilvl w:val="0"/>
          <w:numId w:val="1"/>
        </w:numPr>
        <w:tabs>
          <w:tab w:pos="841" w:val="left" w:leader="none"/>
        </w:tabs>
        <w:spacing w:line="360" w:lineRule="auto" w:before="94" w:after="0"/>
        <w:ind w:left="839" w:right="1196" w:hanging="720"/>
        <w:jc w:val="both"/>
        <w:rPr>
          <w:sz w:val="20"/>
        </w:rPr>
      </w:pPr>
      <w:r>
        <w:rPr>
          <w:sz w:val="20"/>
        </w:rPr>
        <w:t>On July 7, 2020, I, together with Greg Szabo and Mark Zachanowich (the “</w:t>
      </w:r>
      <w:r>
        <w:rPr>
          <w:b/>
          <w:sz w:val="20"/>
        </w:rPr>
        <w:t>Concerned Shareholders</w:t>
      </w:r>
      <w:r>
        <w:rPr>
          <w:sz w:val="20"/>
        </w:rPr>
        <w:t>”),</w:t>
      </w:r>
      <w:r>
        <w:rPr>
          <w:spacing w:val="-7"/>
          <w:sz w:val="20"/>
        </w:rPr>
        <w:t> </w:t>
      </w:r>
      <w:r>
        <w:rPr>
          <w:sz w:val="20"/>
        </w:rPr>
        <w:t>owning</w:t>
      </w:r>
      <w:r>
        <w:rPr>
          <w:spacing w:val="-6"/>
          <w:sz w:val="20"/>
        </w:rPr>
        <w:t> </w:t>
      </w:r>
      <w:r>
        <w:rPr>
          <w:sz w:val="20"/>
        </w:rPr>
        <w:t>more</w:t>
      </w:r>
      <w:r>
        <w:rPr>
          <w:spacing w:val="-6"/>
          <w:sz w:val="20"/>
        </w:rPr>
        <w:t> </w:t>
      </w:r>
      <w:r>
        <w:rPr>
          <w:sz w:val="20"/>
        </w:rPr>
        <w:t>than</w:t>
      </w:r>
      <w:r>
        <w:rPr>
          <w:spacing w:val="-5"/>
          <w:sz w:val="20"/>
        </w:rPr>
        <w:t> </w:t>
      </w:r>
      <w:r>
        <w:rPr>
          <w:sz w:val="20"/>
        </w:rPr>
        <w:t>5%</w:t>
      </w:r>
      <w:r>
        <w:rPr>
          <w:spacing w:val="-7"/>
          <w:sz w:val="20"/>
        </w:rPr>
        <w:t> </w:t>
      </w:r>
      <w:r>
        <w:rPr>
          <w:sz w:val="20"/>
        </w:rPr>
        <w:t>of</w:t>
      </w:r>
      <w:r>
        <w:rPr>
          <w:spacing w:val="-6"/>
          <w:sz w:val="20"/>
        </w:rPr>
        <w:t> </w:t>
      </w:r>
      <w:r>
        <w:rPr>
          <w:sz w:val="20"/>
        </w:rPr>
        <w:t>the</w:t>
      </w:r>
      <w:r>
        <w:rPr>
          <w:spacing w:val="-6"/>
          <w:sz w:val="20"/>
        </w:rPr>
        <w:t> </w:t>
      </w:r>
      <w:r>
        <w:rPr>
          <w:sz w:val="20"/>
        </w:rPr>
        <w:t>shares</w:t>
      </w:r>
      <w:r>
        <w:rPr>
          <w:spacing w:val="-7"/>
          <w:sz w:val="20"/>
        </w:rPr>
        <w:t> </w:t>
      </w:r>
      <w:r>
        <w:rPr>
          <w:sz w:val="20"/>
        </w:rPr>
        <w:t>of</w:t>
      </w:r>
      <w:r>
        <w:rPr>
          <w:spacing w:val="-6"/>
          <w:sz w:val="20"/>
        </w:rPr>
        <w:t> </w:t>
      </w:r>
      <w:r>
        <w:rPr>
          <w:sz w:val="20"/>
        </w:rPr>
        <w:t>KRN,</w:t>
      </w:r>
      <w:r>
        <w:rPr>
          <w:spacing w:val="-7"/>
          <w:sz w:val="20"/>
        </w:rPr>
        <w:t> </w:t>
      </w:r>
      <w:r>
        <w:rPr>
          <w:sz w:val="20"/>
        </w:rPr>
        <w:t>requisitioned</w:t>
      </w:r>
      <w:r>
        <w:rPr>
          <w:spacing w:val="-6"/>
          <w:sz w:val="20"/>
        </w:rPr>
        <w:t> </w:t>
      </w:r>
      <w:r>
        <w:rPr>
          <w:sz w:val="20"/>
        </w:rPr>
        <w:t>(the</w:t>
      </w:r>
      <w:r>
        <w:rPr>
          <w:spacing w:val="-6"/>
          <w:sz w:val="20"/>
        </w:rPr>
        <w:t> </w:t>
      </w:r>
      <w:r>
        <w:rPr>
          <w:sz w:val="20"/>
        </w:rPr>
        <w:t>“</w:t>
      </w:r>
      <w:r>
        <w:rPr>
          <w:b/>
          <w:sz w:val="20"/>
        </w:rPr>
        <w:t>Requisition</w:t>
      </w:r>
      <w:r>
        <w:rPr>
          <w:sz w:val="20"/>
        </w:rPr>
        <w:t>”)</w:t>
      </w:r>
      <w:r>
        <w:rPr>
          <w:spacing w:val="-7"/>
          <w:sz w:val="20"/>
        </w:rPr>
        <w:t> </w:t>
      </w:r>
      <w:r>
        <w:rPr>
          <w:sz w:val="20"/>
        </w:rPr>
        <w:t>the KRN Board to call a special meeting (the “</w:t>
      </w:r>
      <w:r>
        <w:rPr>
          <w:b/>
          <w:sz w:val="20"/>
        </w:rPr>
        <w:t>Special Meeting</w:t>
      </w:r>
      <w:r>
        <w:rPr>
          <w:sz w:val="20"/>
        </w:rPr>
        <w:t>”) of shareholders to elect a board of six (6) directors. The Concerned Shareholders nominated four (4) independent candidates for election, being Joe Vidal, Joe Clavelle, Neil Yelland, and Rowan. The other two (2) candidates would be GSFC Nominees in accordance with the GSFC Nomination Right for a board size of six (6). Attached and marked as </w:t>
      </w:r>
      <w:r>
        <w:rPr>
          <w:b/>
          <w:sz w:val="20"/>
        </w:rPr>
        <w:t>Exhibit “KK” </w:t>
      </w:r>
      <w:r>
        <w:rPr>
          <w:sz w:val="20"/>
        </w:rPr>
        <w:t>to the FDW Affidavit is a copy of the</w:t>
      </w:r>
      <w:r>
        <w:rPr>
          <w:spacing w:val="-30"/>
          <w:sz w:val="20"/>
        </w:rPr>
        <w:t> </w:t>
      </w:r>
      <w:r>
        <w:rPr>
          <w:sz w:val="20"/>
        </w:rPr>
        <w:t>Requisition.</w:t>
      </w:r>
    </w:p>
    <w:p>
      <w:pPr>
        <w:pStyle w:val="BodyText"/>
        <w:rPr>
          <w:sz w:val="21"/>
        </w:rPr>
      </w:pPr>
    </w:p>
    <w:p>
      <w:pPr>
        <w:pStyle w:val="ListParagraph"/>
        <w:numPr>
          <w:ilvl w:val="0"/>
          <w:numId w:val="1"/>
        </w:numPr>
        <w:tabs>
          <w:tab w:pos="840" w:val="left" w:leader="none"/>
        </w:tabs>
        <w:spacing w:line="360" w:lineRule="auto" w:before="0" w:after="0"/>
        <w:ind w:left="839" w:right="1196" w:hanging="721"/>
        <w:jc w:val="both"/>
        <w:rPr>
          <w:sz w:val="20"/>
        </w:rPr>
      </w:pPr>
      <w:r>
        <w:rPr>
          <w:sz w:val="20"/>
        </w:rPr>
        <w:t>On July 27, 2020, KRN called the Special Meeting for December 15, 2020, almost five and one- half (5½) months after the date of the Requisition. Attached and marked as </w:t>
      </w:r>
      <w:r>
        <w:rPr>
          <w:b/>
          <w:sz w:val="20"/>
        </w:rPr>
        <w:t>Exhibit “LL” </w:t>
      </w:r>
      <w:r>
        <w:rPr>
          <w:sz w:val="20"/>
        </w:rPr>
        <w:t>to the FDW Affidavit is a copy of the notice (the “</w:t>
      </w:r>
      <w:r>
        <w:rPr>
          <w:b/>
          <w:sz w:val="20"/>
        </w:rPr>
        <w:t>Notice</w:t>
      </w:r>
      <w:r>
        <w:rPr>
          <w:sz w:val="20"/>
        </w:rPr>
        <w:t>”) of Special</w:t>
      </w:r>
      <w:r>
        <w:rPr>
          <w:spacing w:val="-13"/>
          <w:sz w:val="20"/>
        </w:rPr>
        <w:t> </w:t>
      </w:r>
      <w:r>
        <w:rPr>
          <w:sz w:val="20"/>
        </w:rPr>
        <w:t>Meeting.</w:t>
      </w:r>
    </w:p>
    <w:p>
      <w:pPr>
        <w:pStyle w:val="BodyText"/>
        <w:spacing w:before="9"/>
      </w:pPr>
    </w:p>
    <w:p>
      <w:pPr>
        <w:pStyle w:val="Heading1"/>
        <w:numPr>
          <w:ilvl w:val="0"/>
          <w:numId w:val="6"/>
        </w:numPr>
        <w:tabs>
          <w:tab w:pos="839" w:val="left" w:leader="none"/>
          <w:tab w:pos="841" w:val="left" w:leader="none"/>
        </w:tabs>
        <w:spacing w:line="240" w:lineRule="auto" w:before="0" w:after="0"/>
        <w:ind w:left="840" w:right="0" w:hanging="721"/>
        <w:jc w:val="left"/>
        <w:rPr>
          <w:u w:val="none"/>
        </w:rPr>
      </w:pPr>
      <w:r>
        <w:rPr>
          <w:u w:val="thick"/>
        </w:rPr>
        <w:t>Sole Purpose of the</w:t>
      </w:r>
      <w:r>
        <w:rPr>
          <w:spacing w:val="-5"/>
          <w:u w:val="thick"/>
        </w:rPr>
        <w:t> </w:t>
      </w:r>
      <w:r>
        <w:rPr>
          <w:u w:val="thick"/>
        </w:rPr>
        <w:t>Requisition</w:t>
      </w:r>
    </w:p>
    <w:p>
      <w:pPr>
        <w:pStyle w:val="BodyText"/>
        <w:spacing w:before="8"/>
        <w:rPr>
          <w:b/>
          <w:sz w:val="22"/>
        </w:rPr>
      </w:pPr>
    </w:p>
    <w:p>
      <w:pPr>
        <w:pStyle w:val="ListParagraph"/>
        <w:numPr>
          <w:ilvl w:val="0"/>
          <w:numId w:val="1"/>
        </w:numPr>
        <w:tabs>
          <w:tab w:pos="839" w:val="left" w:leader="none"/>
          <w:tab w:pos="841" w:val="left" w:leader="none"/>
        </w:tabs>
        <w:spacing w:line="360" w:lineRule="auto" w:before="94" w:after="0"/>
        <w:ind w:left="840" w:right="1199" w:hanging="721"/>
        <w:jc w:val="left"/>
        <w:rPr>
          <w:sz w:val="20"/>
        </w:rPr>
      </w:pPr>
      <w:r>
        <w:rPr>
          <w:sz w:val="20"/>
        </w:rPr>
        <w:t>The</w:t>
      </w:r>
      <w:r>
        <w:rPr>
          <w:spacing w:val="-4"/>
          <w:sz w:val="20"/>
        </w:rPr>
        <w:t> </w:t>
      </w:r>
      <w:r>
        <w:rPr>
          <w:sz w:val="20"/>
        </w:rPr>
        <w:t>sole</w:t>
      </w:r>
      <w:r>
        <w:rPr>
          <w:spacing w:val="-4"/>
          <w:sz w:val="20"/>
        </w:rPr>
        <w:t> </w:t>
      </w:r>
      <w:r>
        <w:rPr>
          <w:sz w:val="20"/>
        </w:rPr>
        <w:t>purpose</w:t>
      </w:r>
      <w:r>
        <w:rPr>
          <w:spacing w:val="-4"/>
          <w:sz w:val="20"/>
        </w:rPr>
        <w:t> </w:t>
      </w:r>
      <w:r>
        <w:rPr>
          <w:sz w:val="20"/>
        </w:rPr>
        <w:t>and</w:t>
      </w:r>
      <w:r>
        <w:rPr>
          <w:spacing w:val="-4"/>
          <w:sz w:val="20"/>
        </w:rPr>
        <w:t> </w:t>
      </w:r>
      <w:r>
        <w:rPr>
          <w:sz w:val="20"/>
        </w:rPr>
        <w:t>objective</w:t>
      </w:r>
      <w:r>
        <w:rPr>
          <w:spacing w:val="-4"/>
          <w:sz w:val="20"/>
        </w:rPr>
        <w:t> </w:t>
      </w:r>
      <w:r>
        <w:rPr>
          <w:sz w:val="20"/>
        </w:rPr>
        <w:t>of</w:t>
      </w:r>
      <w:r>
        <w:rPr>
          <w:spacing w:val="-5"/>
          <w:sz w:val="20"/>
        </w:rPr>
        <w:t> </w:t>
      </w:r>
      <w:r>
        <w:rPr>
          <w:sz w:val="20"/>
        </w:rPr>
        <w:t>the</w:t>
      </w:r>
      <w:r>
        <w:rPr>
          <w:spacing w:val="-5"/>
          <w:sz w:val="20"/>
        </w:rPr>
        <w:t> </w:t>
      </w:r>
      <w:r>
        <w:rPr>
          <w:sz w:val="20"/>
        </w:rPr>
        <w:t>Requisition</w:t>
      </w:r>
      <w:r>
        <w:rPr>
          <w:spacing w:val="-4"/>
          <w:sz w:val="20"/>
        </w:rPr>
        <w:t> </w:t>
      </w:r>
      <w:r>
        <w:rPr>
          <w:sz w:val="20"/>
        </w:rPr>
        <w:t>was</w:t>
      </w:r>
      <w:r>
        <w:rPr>
          <w:spacing w:val="-2"/>
          <w:sz w:val="20"/>
        </w:rPr>
        <w:t> </w:t>
      </w:r>
      <w:r>
        <w:rPr>
          <w:sz w:val="20"/>
        </w:rPr>
        <w:t>to</w:t>
      </w:r>
      <w:r>
        <w:rPr>
          <w:spacing w:val="-4"/>
          <w:sz w:val="20"/>
        </w:rPr>
        <w:t> </w:t>
      </w:r>
      <w:r>
        <w:rPr>
          <w:sz w:val="20"/>
        </w:rPr>
        <w:t>constitute</w:t>
      </w:r>
      <w:r>
        <w:rPr>
          <w:spacing w:val="-4"/>
          <w:sz w:val="20"/>
        </w:rPr>
        <w:t> </w:t>
      </w:r>
      <w:r>
        <w:rPr>
          <w:sz w:val="20"/>
        </w:rPr>
        <w:t>the</w:t>
      </w:r>
      <w:r>
        <w:rPr>
          <w:spacing w:val="-4"/>
          <w:sz w:val="20"/>
        </w:rPr>
        <w:t> </w:t>
      </w:r>
      <w:r>
        <w:rPr>
          <w:sz w:val="20"/>
        </w:rPr>
        <w:t>KRN</w:t>
      </w:r>
      <w:r>
        <w:rPr>
          <w:spacing w:val="-4"/>
          <w:sz w:val="20"/>
        </w:rPr>
        <w:t> </w:t>
      </w:r>
      <w:r>
        <w:rPr>
          <w:sz w:val="20"/>
        </w:rPr>
        <w:t>Board</w:t>
      </w:r>
      <w:r>
        <w:rPr>
          <w:spacing w:val="-5"/>
          <w:sz w:val="20"/>
        </w:rPr>
        <w:t> </w:t>
      </w:r>
      <w:r>
        <w:rPr>
          <w:sz w:val="20"/>
        </w:rPr>
        <w:t>with</w:t>
      </w:r>
      <w:r>
        <w:rPr>
          <w:spacing w:val="-4"/>
          <w:sz w:val="20"/>
        </w:rPr>
        <w:t> </w:t>
      </w:r>
      <w:r>
        <w:rPr>
          <w:sz w:val="20"/>
        </w:rPr>
        <w:t>a</w:t>
      </w:r>
      <w:r>
        <w:rPr>
          <w:spacing w:val="-4"/>
          <w:sz w:val="20"/>
        </w:rPr>
        <w:t> </w:t>
      </w:r>
      <w:r>
        <w:rPr>
          <w:sz w:val="20"/>
        </w:rPr>
        <w:t>majority of independent directors, in accordance with Securities Laws and TSX</w:t>
      </w:r>
      <w:r>
        <w:rPr>
          <w:spacing w:val="-14"/>
          <w:sz w:val="20"/>
        </w:rPr>
        <w:t> </w:t>
      </w:r>
      <w:r>
        <w:rPr>
          <w:sz w:val="20"/>
        </w:rPr>
        <w:t>Rules.</w:t>
      </w:r>
    </w:p>
    <w:p>
      <w:pPr>
        <w:pStyle w:val="BodyText"/>
        <w:spacing w:before="10"/>
      </w:pPr>
    </w:p>
    <w:p>
      <w:pPr>
        <w:pStyle w:val="Heading1"/>
        <w:numPr>
          <w:ilvl w:val="0"/>
          <w:numId w:val="6"/>
        </w:numPr>
        <w:tabs>
          <w:tab w:pos="839" w:val="left" w:leader="none"/>
          <w:tab w:pos="841" w:val="left" w:leader="none"/>
        </w:tabs>
        <w:spacing w:line="240" w:lineRule="auto" w:before="1" w:after="0"/>
        <w:ind w:left="840" w:right="0" w:hanging="721"/>
        <w:jc w:val="left"/>
        <w:rPr>
          <w:u w:val="none"/>
        </w:rPr>
      </w:pPr>
      <w:r>
        <w:rPr>
          <w:u w:val="thick"/>
        </w:rPr>
        <w:t>Press</w:t>
      </w:r>
      <w:r>
        <w:rPr>
          <w:spacing w:val="-2"/>
          <w:u w:val="thick"/>
        </w:rPr>
        <w:t> </w:t>
      </w:r>
      <w:r>
        <w:rPr>
          <w:u w:val="thick"/>
        </w:rPr>
        <w:t>Releases</w:t>
      </w:r>
    </w:p>
    <w:p>
      <w:pPr>
        <w:pStyle w:val="BodyText"/>
        <w:spacing w:before="7"/>
        <w:rPr>
          <w:b/>
          <w:sz w:val="22"/>
        </w:rPr>
      </w:pPr>
    </w:p>
    <w:p>
      <w:pPr>
        <w:pStyle w:val="ListParagraph"/>
        <w:numPr>
          <w:ilvl w:val="0"/>
          <w:numId w:val="1"/>
        </w:numPr>
        <w:tabs>
          <w:tab w:pos="841" w:val="left" w:leader="none"/>
        </w:tabs>
        <w:spacing w:line="360" w:lineRule="auto" w:before="94" w:after="0"/>
        <w:ind w:left="840" w:right="1195" w:hanging="721"/>
        <w:jc w:val="both"/>
        <w:rPr>
          <w:sz w:val="20"/>
        </w:rPr>
      </w:pPr>
      <w:r>
        <w:rPr>
          <w:sz w:val="20"/>
        </w:rPr>
        <w:t>From</w:t>
      </w:r>
      <w:r>
        <w:rPr>
          <w:spacing w:val="-9"/>
          <w:sz w:val="20"/>
        </w:rPr>
        <w:t> </w:t>
      </w:r>
      <w:r>
        <w:rPr>
          <w:sz w:val="20"/>
        </w:rPr>
        <w:t>July</w:t>
      </w:r>
      <w:r>
        <w:rPr>
          <w:spacing w:val="-7"/>
          <w:sz w:val="20"/>
        </w:rPr>
        <w:t> </w:t>
      </w:r>
      <w:r>
        <w:rPr>
          <w:sz w:val="20"/>
        </w:rPr>
        <w:t>2020</w:t>
      </w:r>
      <w:r>
        <w:rPr>
          <w:spacing w:val="-8"/>
          <w:sz w:val="20"/>
        </w:rPr>
        <w:t> </w:t>
      </w:r>
      <w:r>
        <w:rPr>
          <w:sz w:val="20"/>
        </w:rPr>
        <w:t>to</w:t>
      </w:r>
      <w:r>
        <w:rPr>
          <w:spacing w:val="-9"/>
          <w:sz w:val="20"/>
        </w:rPr>
        <w:t> </w:t>
      </w:r>
      <w:r>
        <w:rPr>
          <w:sz w:val="20"/>
        </w:rPr>
        <w:t>December</w:t>
      </w:r>
      <w:r>
        <w:rPr>
          <w:spacing w:val="-7"/>
          <w:sz w:val="20"/>
        </w:rPr>
        <w:t> </w:t>
      </w:r>
      <w:r>
        <w:rPr>
          <w:sz w:val="20"/>
        </w:rPr>
        <w:t>2020,</w:t>
      </w:r>
      <w:r>
        <w:rPr>
          <w:spacing w:val="-8"/>
          <w:sz w:val="20"/>
        </w:rPr>
        <w:t> </w:t>
      </w:r>
      <w:r>
        <w:rPr>
          <w:sz w:val="20"/>
        </w:rPr>
        <w:t>the</w:t>
      </w:r>
      <w:r>
        <w:rPr>
          <w:spacing w:val="-7"/>
          <w:sz w:val="20"/>
        </w:rPr>
        <w:t> </w:t>
      </w:r>
      <w:r>
        <w:rPr>
          <w:sz w:val="20"/>
        </w:rPr>
        <w:t>Concerned</w:t>
      </w:r>
      <w:r>
        <w:rPr>
          <w:spacing w:val="-8"/>
          <w:sz w:val="20"/>
        </w:rPr>
        <w:t> </w:t>
      </w:r>
      <w:r>
        <w:rPr>
          <w:sz w:val="20"/>
        </w:rPr>
        <w:t>Shareholders</w:t>
      </w:r>
      <w:r>
        <w:rPr>
          <w:spacing w:val="-7"/>
          <w:sz w:val="20"/>
        </w:rPr>
        <w:t> </w:t>
      </w:r>
      <w:r>
        <w:rPr>
          <w:sz w:val="20"/>
        </w:rPr>
        <w:t>issued</w:t>
      </w:r>
      <w:r>
        <w:rPr>
          <w:spacing w:val="-9"/>
          <w:sz w:val="20"/>
        </w:rPr>
        <w:t> </w:t>
      </w:r>
      <w:r>
        <w:rPr>
          <w:sz w:val="20"/>
        </w:rPr>
        <w:t>a</w:t>
      </w:r>
      <w:r>
        <w:rPr>
          <w:spacing w:val="-8"/>
          <w:sz w:val="20"/>
        </w:rPr>
        <w:t> </w:t>
      </w:r>
      <w:r>
        <w:rPr>
          <w:sz w:val="20"/>
        </w:rPr>
        <w:t>series</w:t>
      </w:r>
      <w:r>
        <w:rPr>
          <w:spacing w:val="-7"/>
          <w:sz w:val="20"/>
        </w:rPr>
        <w:t> </w:t>
      </w:r>
      <w:r>
        <w:rPr>
          <w:sz w:val="20"/>
        </w:rPr>
        <w:t>of</w:t>
      </w:r>
      <w:r>
        <w:rPr>
          <w:spacing w:val="-9"/>
          <w:sz w:val="20"/>
        </w:rPr>
        <w:t> </w:t>
      </w:r>
      <w:r>
        <w:rPr>
          <w:sz w:val="20"/>
        </w:rPr>
        <w:t>press</w:t>
      </w:r>
      <w:r>
        <w:rPr>
          <w:spacing w:val="-7"/>
          <w:sz w:val="20"/>
        </w:rPr>
        <w:t> </w:t>
      </w:r>
      <w:r>
        <w:rPr>
          <w:sz w:val="20"/>
        </w:rPr>
        <w:t>releases outlining their concerns. Attached and marked as </w:t>
      </w:r>
      <w:r>
        <w:rPr>
          <w:b/>
          <w:sz w:val="20"/>
        </w:rPr>
        <w:t>Exhibit “MM” </w:t>
      </w:r>
      <w:r>
        <w:rPr>
          <w:sz w:val="20"/>
        </w:rPr>
        <w:t>to the FDW Affidavit is a copy of the Concerned Shareholders’ press releases from July to December</w:t>
      </w:r>
      <w:r>
        <w:rPr>
          <w:spacing w:val="-13"/>
          <w:sz w:val="20"/>
        </w:rPr>
        <w:t> </w:t>
      </w:r>
      <w:r>
        <w:rPr>
          <w:sz w:val="20"/>
        </w:rPr>
        <w:t>2020.</w:t>
      </w:r>
    </w:p>
    <w:p>
      <w:pPr>
        <w:pStyle w:val="BodyText"/>
        <w:spacing w:before="9"/>
      </w:pPr>
    </w:p>
    <w:p>
      <w:pPr>
        <w:pStyle w:val="Heading1"/>
        <w:numPr>
          <w:ilvl w:val="0"/>
          <w:numId w:val="6"/>
        </w:numPr>
        <w:tabs>
          <w:tab w:pos="839" w:val="left" w:leader="none"/>
          <w:tab w:pos="841" w:val="left" w:leader="none"/>
        </w:tabs>
        <w:spacing w:line="240" w:lineRule="auto" w:before="0" w:after="0"/>
        <w:ind w:left="840" w:right="0" w:hanging="721"/>
        <w:jc w:val="left"/>
        <w:rPr>
          <w:u w:val="none"/>
        </w:rPr>
      </w:pPr>
      <w:r>
        <w:rPr>
          <w:u w:val="thick"/>
        </w:rPr>
        <w:t>Demand for an Independent</w:t>
      </w:r>
      <w:r>
        <w:rPr>
          <w:spacing w:val="-6"/>
          <w:u w:val="thick"/>
        </w:rPr>
        <w:t> </w:t>
      </w:r>
      <w:r>
        <w:rPr>
          <w:u w:val="thick"/>
        </w:rPr>
        <w:t>Investigation</w:t>
      </w:r>
    </w:p>
    <w:p>
      <w:pPr>
        <w:pStyle w:val="BodyText"/>
        <w:spacing w:before="9"/>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On</w:t>
      </w:r>
      <w:r>
        <w:rPr>
          <w:spacing w:val="-12"/>
          <w:sz w:val="20"/>
        </w:rPr>
        <w:t> </w:t>
      </w:r>
      <w:r>
        <w:rPr>
          <w:sz w:val="20"/>
        </w:rPr>
        <w:t>July</w:t>
      </w:r>
      <w:r>
        <w:rPr>
          <w:spacing w:val="-11"/>
          <w:sz w:val="20"/>
        </w:rPr>
        <w:t> </w:t>
      </w:r>
      <w:r>
        <w:rPr>
          <w:sz w:val="20"/>
        </w:rPr>
        <w:t>22,</w:t>
      </w:r>
      <w:r>
        <w:rPr>
          <w:spacing w:val="-13"/>
          <w:sz w:val="20"/>
        </w:rPr>
        <w:t> </w:t>
      </w:r>
      <w:r>
        <w:rPr>
          <w:sz w:val="20"/>
        </w:rPr>
        <w:t>2020,</w:t>
      </w:r>
      <w:r>
        <w:rPr>
          <w:spacing w:val="-12"/>
          <w:sz w:val="20"/>
        </w:rPr>
        <w:t> </w:t>
      </w:r>
      <w:r>
        <w:rPr>
          <w:sz w:val="20"/>
        </w:rPr>
        <w:t>the</w:t>
      </w:r>
      <w:r>
        <w:rPr>
          <w:spacing w:val="-12"/>
          <w:sz w:val="20"/>
        </w:rPr>
        <w:t> </w:t>
      </w:r>
      <w:r>
        <w:rPr>
          <w:sz w:val="20"/>
        </w:rPr>
        <w:t>Concerned</w:t>
      </w:r>
      <w:r>
        <w:rPr>
          <w:spacing w:val="-11"/>
          <w:sz w:val="20"/>
        </w:rPr>
        <w:t> </w:t>
      </w:r>
      <w:r>
        <w:rPr>
          <w:sz w:val="20"/>
        </w:rPr>
        <w:t>Shareholders</w:t>
      </w:r>
      <w:r>
        <w:rPr>
          <w:spacing w:val="-12"/>
          <w:sz w:val="20"/>
        </w:rPr>
        <w:t> </w:t>
      </w:r>
      <w:r>
        <w:rPr>
          <w:sz w:val="20"/>
        </w:rPr>
        <w:t>wrote</w:t>
      </w:r>
      <w:r>
        <w:rPr>
          <w:spacing w:val="-11"/>
          <w:sz w:val="20"/>
        </w:rPr>
        <w:t> </w:t>
      </w:r>
      <w:r>
        <w:rPr>
          <w:sz w:val="20"/>
        </w:rPr>
        <w:t>to</w:t>
      </w:r>
      <w:r>
        <w:rPr>
          <w:spacing w:val="-12"/>
          <w:sz w:val="20"/>
        </w:rPr>
        <w:t> </w:t>
      </w:r>
      <w:r>
        <w:rPr>
          <w:sz w:val="20"/>
        </w:rPr>
        <w:t>the</w:t>
      </w:r>
      <w:r>
        <w:rPr>
          <w:spacing w:val="-11"/>
          <w:sz w:val="20"/>
        </w:rPr>
        <w:t> </w:t>
      </w:r>
      <w:r>
        <w:rPr>
          <w:sz w:val="20"/>
        </w:rPr>
        <w:t>KRN</w:t>
      </w:r>
      <w:r>
        <w:rPr>
          <w:spacing w:val="-11"/>
          <w:sz w:val="20"/>
        </w:rPr>
        <w:t> </w:t>
      </w:r>
      <w:r>
        <w:rPr>
          <w:sz w:val="20"/>
        </w:rPr>
        <w:t>Board</w:t>
      </w:r>
      <w:r>
        <w:rPr>
          <w:spacing w:val="-12"/>
          <w:sz w:val="20"/>
        </w:rPr>
        <w:t> </w:t>
      </w:r>
      <w:r>
        <w:rPr>
          <w:sz w:val="20"/>
        </w:rPr>
        <w:t>requesting</w:t>
      </w:r>
      <w:r>
        <w:rPr>
          <w:spacing w:val="-11"/>
          <w:sz w:val="20"/>
        </w:rPr>
        <w:t> </w:t>
      </w:r>
      <w:r>
        <w:rPr>
          <w:sz w:val="20"/>
        </w:rPr>
        <w:t>an</w:t>
      </w:r>
      <w:r>
        <w:rPr>
          <w:spacing w:val="-12"/>
          <w:sz w:val="20"/>
        </w:rPr>
        <w:t> </w:t>
      </w:r>
      <w:r>
        <w:rPr>
          <w:sz w:val="20"/>
        </w:rPr>
        <w:t>independent investigation into the conduct of the KRN Board and</w:t>
      </w:r>
      <w:r>
        <w:rPr>
          <w:spacing w:val="-13"/>
          <w:sz w:val="20"/>
        </w:rPr>
        <w:t> </w:t>
      </w:r>
      <w:r>
        <w:rPr>
          <w:sz w:val="20"/>
        </w:rPr>
        <w:t>management.</w:t>
      </w:r>
    </w:p>
    <w:p>
      <w:pPr>
        <w:pStyle w:val="BodyText"/>
        <w:spacing w:before="10"/>
      </w:pPr>
    </w:p>
    <w:p>
      <w:pPr>
        <w:pStyle w:val="ListParagraph"/>
        <w:numPr>
          <w:ilvl w:val="0"/>
          <w:numId w:val="1"/>
        </w:numPr>
        <w:tabs>
          <w:tab w:pos="841" w:val="left" w:leader="none"/>
        </w:tabs>
        <w:spacing w:line="360" w:lineRule="auto" w:before="0" w:after="0"/>
        <w:ind w:left="839" w:right="1197" w:hanging="720"/>
        <w:jc w:val="both"/>
        <w:rPr>
          <w:sz w:val="20"/>
        </w:rPr>
      </w:pPr>
      <w:r>
        <w:rPr>
          <w:sz w:val="20"/>
        </w:rPr>
        <w:t>KRN hired Ariel Breitman from its law firm, MLT Aikins, to undertake an investigation into our concerns. The Concerned Shareholders provided MLT Aikins with a written submission (the “</w:t>
      </w:r>
      <w:r>
        <w:rPr>
          <w:b/>
          <w:sz w:val="20"/>
        </w:rPr>
        <w:t>Submission</w:t>
      </w:r>
      <w:r>
        <w:rPr>
          <w:sz w:val="20"/>
        </w:rPr>
        <w:t>”)</w:t>
      </w:r>
      <w:r>
        <w:rPr>
          <w:spacing w:val="-10"/>
          <w:sz w:val="20"/>
        </w:rPr>
        <w:t> </w:t>
      </w:r>
      <w:r>
        <w:rPr>
          <w:sz w:val="20"/>
        </w:rPr>
        <w:t>outlining</w:t>
      </w:r>
      <w:r>
        <w:rPr>
          <w:spacing w:val="-10"/>
          <w:sz w:val="20"/>
        </w:rPr>
        <w:t> </w:t>
      </w:r>
      <w:r>
        <w:rPr>
          <w:sz w:val="20"/>
        </w:rPr>
        <w:t>our</w:t>
      </w:r>
      <w:r>
        <w:rPr>
          <w:spacing w:val="-10"/>
          <w:sz w:val="20"/>
        </w:rPr>
        <w:t> </w:t>
      </w:r>
      <w:r>
        <w:rPr>
          <w:sz w:val="20"/>
        </w:rPr>
        <w:t>concerns.</w:t>
      </w:r>
      <w:r>
        <w:rPr>
          <w:spacing w:val="36"/>
          <w:sz w:val="20"/>
        </w:rPr>
        <w:t> </w:t>
      </w:r>
      <w:r>
        <w:rPr>
          <w:sz w:val="20"/>
        </w:rPr>
        <w:t>I</w:t>
      </w:r>
      <w:r>
        <w:rPr>
          <w:spacing w:val="-9"/>
          <w:sz w:val="20"/>
        </w:rPr>
        <w:t> </w:t>
      </w:r>
      <w:r>
        <w:rPr>
          <w:sz w:val="20"/>
        </w:rPr>
        <w:t>was</w:t>
      </w:r>
      <w:r>
        <w:rPr>
          <w:spacing w:val="-9"/>
          <w:sz w:val="20"/>
        </w:rPr>
        <w:t> </w:t>
      </w:r>
      <w:r>
        <w:rPr>
          <w:sz w:val="20"/>
        </w:rPr>
        <w:t>interviewed</w:t>
      </w:r>
      <w:r>
        <w:rPr>
          <w:spacing w:val="-10"/>
          <w:sz w:val="20"/>
        </w:rPr>
        <w:t> </w:t>
      </w:r>
      <w:r>
        <w:rPr>
          <w:sz w:val="20"/>
        </w:rPr>
        <w:t>by</w:t>
      </w:r>
      <w:r>
        <w:rPr>
          <w:spacing w:val="-11"/>
          <w:sz w:val="20"/>
        </w:rPr>
        <w:t> </w:t>
      </w:r>
      <w:r>
        <w:rPr>
          <w:sz w:val="20"/>
        </w:rPr>
        <w:t>RM.</w:t>
      </w:r>
      <w:r>
        <w:rPr>
          <w:spacing w:val="-11"/>
          <w:sz w:val="20"/>
        </w:rPr>
        <w:t> </w:t>
      </w:r>
      <w:r>
        <w:rPr>
          <w:sz w:val="20"/>
        </w:rPr>
        <w:t>Breitman</w:t>
      </w:r>
      <w:r>
        <w:rPr>
          <w:spacing w:val="-10"/>
          <w:sz w:val="20"/>
        </w:rPr>
        <w:t> </w:t>
      </w:r>
      <w:r>
        <w:rPr>
          <w:sz w:val="20"/>
        </w:rPr>
        <w:t>for</w:t>
      </w:r>
      <w:r>
        <w:rPr>
          <w:spacing w:val="-10"/>
          <w:sz w:val="20"/>
        </w:rPr>
        <w:t> </w:t>
      </w:r>
      <w:r>
        <w:rPr>
          <w:sz w:val="20"/>
        </w:rPr>
        <w:t>between</w:t>
      </w:r>
      <w:r>
        <w:rPr>
          <w:spacing w:val="-9"/>
          <w:sz w:val="20"/>
        </w:rPr>
        <w:t> </w:t>
      </w:r>
      <w:r>
        <w:rPr>
          <w:sz w:val="20"/>
        </w:rPr>
        <w:t>two</w:t>
      </w:r>
      <w:r>
        <w:rPr>
          <w:spacing w:val="-10"/>
          <w:sz w:val="20"/>
        </w:rPr>
        <w:t> </w:t>
      </w:r>
      <w:r>
        <w:rPr>
          <w:sz w:val="20"/>
        </w:rPr>
        <w:t>(2)</w:t>
      </w:r>
      <w:r>
        <w:rPr>
          <w:spacing w:val="-11"/>
          <w:sz w:val="20"/>
        </w:rPr>
        <w:t> </w:t>
      </w:r>
      <w:r>
        <w:rPr>
          <w:sz w:val="20"/>
        </w:rPr>
        <w:t>and</w:t>
      </w:r>
    </w:p>
    <w:p>
      <w:pPr>
        <w:spacing w:after="0" w:line="360" w:lineRule="auto"/>
        <w:jc w:val="both"/>
        <w:rPr>
          <w:sz w:val="20"/>
        </w:rPr>
        <w:sectPr>
          <w:pgSz w:w="12240" w:h="15840"/>
          <w:pgMar w:header="0" w:footer="971" w:top="1220" w:bottom="1160" w:left="1320" w:right="240"/>
        </w:sectPr>
      </w:pPr>
    </w:p>
    <w:p>
      <w:pPr>
        <w:pStyle w:val="BodyText"/>
        <w:spacing w:line="360" w:lineRule="auto" w:before="75"/>
        <w:ind w:left="839" w:right="822"/>
      </w:pPr>
      <w:r>
        <w:rPr/>
        <w:t>three (3) hours. Attached and marked as </w:t>
      </w:r>
      <w:r>
        <w:rPr>
          <w:b/>
        </w:rPr>
        <w:t>Exhibit “NN” </w:t>
      </w:r>
      <w:r>
        <w:rPr/>
        <w:t>to the FDW Affidavit is a copy of the Submission.</w:t>
      </w:r>
    </w:p>
    <w:p>
      <w:pPr>
        <w:pStyle w:val="BodyText"/>
        <w:spacing w:before="10"/>
      </w:pPr>
    </w:p>
    <w:p>
      <w:pPr>
        <w:pStyle w:val="ListParagraph"/>
        <w:numPr>
          <w:ilvl w:val="0"/>
          <w:numId w:val="1"/>
        </w:numPr>
        <w:tabs>
          <w:tab w:pos="840" w:val="left" w:leader="none"/>
        </w:tabs>
        <w:spacing w:line="360" w:lineRule="auto" w:before="0" w:after="0"/>
        <w:ind w:left="838" w:right="1197" w:hanging="720"/>
        <w:jc w:val="both"/>
        <w:rPr>
          <w:sz w:val="20"/>
        </w:rPr>
      </w:pPr>
      <w:r>
        <w:rPr>
          <w:sz w:val="20"/>
        </w:rPr>
        <w:t>In my interview, Ariel Breitman hardly asked me any questions on the concerns raised. Rather, he spent the two (2) to three (3) hour interview asking questions on matters that I verily believe were totally irrelevant to our concerns, and dealt primarily with matters that occurred well in advance of the time period during which our concerns</w:t>
      </w:r>
      <w:r>
        <w:rPr>
          <w:spacing w:val="-7"/>
          <w:sz w:val="20"/>
        </w:rPr>
        <w:t> </w:t>
      </w:r>
      <w:r>
        <w:rPr>
          <w:sz w:val="20"/>
        </w:rPr>
        <w:t>arose.</w:t>
      </w:r>
    </w:p>
    <w:p>
      <w:pPr>
        <w:pStyle w:val="BodyText"/>
        <w:spacing w:before="11"/>
      </w:pPr>
    </w:p>
    <w:p>
      <w:pPr>
        <w:pStyle w:val="ListParagraph"/>
        <w:numPr>
          <w:ilvl w:val="0"/>
          <w:numId w:val="1"/>
        </w:numPr>
        <w:tabs>
          <w:tab w:pos="839" w:val="left" w:leader="none"/>
        </w:tabs>
        <w:spacing w:line="360" w:lineRule="auto" w:before="0" w:after="0"/>
        <w:ind w:left="838" w:right="1198" w:hanging="720"/>
        <w:jc w:val="both"/>
        <w:rPr>
          <w:sz w:val="20"/>
        </w:rPr>
      </w:pPr>
      <w:r>
        <w:rPr>
          <w:sz w:val="20"/>
        </w:rPr>
        <w:t>On October 26, 2020, KRN issued a press release stating that, after its investigation, MLT Aikin concluded that there was not one (1) single breach of any of the Securities Laws, TSX Rules, any laws of Canada, the KRN Code or the board and management’s legal and fiduciary duties. KRN did not release a copy of the MLT report on the investigation. Attached and marked as </w:t>
      </w:r>
      <w:r>
        <w:rPr>
          <w:b/>
          <w:sz w:val="20"/>
        </w:rPr>
        <w:t>Exhibit “OO” </w:t>
      </w:r>
      <w:r>
        <w:rPr>
          <w:sz w:val="20"/>
        </w:rPr>
        <w:t>to the FDW Affidavit is a copy of the press release dated October 16,</w:t>
      </w:r>
      <w:r>
        <w:rPr>
          <w:spacing w:val="-18"/>
          <w:sz w:val="20"/>
        </w:rPr>
        <w:t> </w:t>
      </w:r>
      <w:r>
        <w:rPr>
          <w:sz w:val="20"/>
        </w:rPr>
        <w:t>2020.</w:t>
      </w:r>
    </w:p>
    <w:p>
      <w:pPr>
        <w:pStyle w:val="BodyText"/>
        <w:spacing w:before="10"/>
      </w:pPr>
    </w:p>
    <w:p>
      <w:pPr>
        <w:pStyle w:val="ListParagraph"/>
        <w:numPr>
          <w:ilvl w:val="0"/>
          <w:numId w:val="1"/>
        </w:numPr>
        <w:tabs>
          <w:tab w:pos="839" w:val="left" w:leader="none"/>
        </w:tabs>
        <w:spacing w:line="360" w:lineRule="auto" w:before="0" w:after="0"/>
        <w:ind w:left="838" w:right="1197" w:hanging="721"/>
        <w:jc w:val="both"/>
        <w:rPr>
          <w:sz w:val="20"/>
        </w:rPr>
      </w:pPr>
      <w:r>
        <w:rPr>
          <w:sz w:val="20"/>
        </w:rPr>
        <w:t>I verily believe that based on any objective review of the facts, and the conduct of the KRN Board and management, as outlined in our series of press releases, and in the Submission, it stretches the</w:t>
      </w:r>
      <w:r>
        <w:rPr>
          <w:spacing w:val="-9"/>
          <w:sz w:val="20"/>
        </w:rPr>
        <w:t> </w:t>
      </w:r>
      <w:r>
        <w:rPr>
          <w:sz w:val="20"/>
        </w:rPr>
        <w:t>bounds</w:t>
      </w:r>
      <w:r>
        <w:rPr>
          <w:spacing w:val="-7"/>
          <w:sz w:val="20"/>
        </w:rPr>
        <w:t> </w:t>
      </w:r>
      <w:r>
        <w:rPr>
          <w:sz w:val="20"/>
        </w:rPr>
        <w:t>of</w:t>
      </w:r>
      <w:r>
        <w:rPr>
          <w:spacing w:val="-10"/>
          <w:sz w:val="20"/>
        </w:rPr>
        <w:t> </w:t>
      </w:r>
      <w:r>
        <w:rPr>
          <w:sz w:val="20"/>
        </w:rPr>
        <w:t>credibility</w:t>
      </w:r>
      <w:r>
        <w:rPr>
          <w:spacing w:val="-7"/>
          <w:sz w:val="20"/>
        </w:rPr>
        <w:t> </w:t>
      </w:r>
      <w:r>
        <w:rPr>
          <w:sz w:val="20"/>
        </w:rPr>
        <w:t>for</w:t>
      </w:r>
      <w:r>
        <w:rPr>
          <w:spacing w:val="-10"/>
          <w:sz w:val="20"/>
        </w:rPr>
        <w:t> </w:t>
      </w:r>
      <w:r>
        <w:rPr>
          <w:sz w:val="20"/>
        </w:rPr>
        <w:t>Mr.</w:t>
      </w:r>
      <w:r>
        <w:rPr>
          <w:spacing w:val="-8"/>
          <w:sz w:val="20"/>
        </w:rPr>
        <w:t> </w:t>
      </w:r>
      <w:r>
        <w:rPr>
          <w:sz w:val="20"/>
        </w:rPr>
        <w:t>Breitman</w:t>
      </w:r>
      <w:r>
        <w:rPr>
          <w:spacing w:val="-9"/>
          <w:sz w:val="20"/>
        </w:rPr>
        <w:t> </w:t>
      </w:r>
      <w:r>
        <w:rPr>
          <w:sz w:val="20"/>
        </w:rPr>
        <w:t>to</w:t>
      </w:r>
      <w:r>
        <w:rPr>
          <w:spacing w:val="-8"/>
          <w:sz w:val="20"/>
        </w:rPr>
        <w:t> </w:t>
      </w:r>
      <w:r>
        <w:rPr>
          <w:sz w:val="20"/>
        </w:rPr>
        <w:t>suggest</w:t>
      </w:r>
      <w:r>
        <w:rPr>
          <w:spacing w:val="-8"/>
          <w:sz w:val="20"/>
        </w:rPr>
        <w:t> </w:t>
      </w:r>
      <w:r>
        <w:rPr>
          <w:sz w:val="20"/>
        </w:rPr>
        <w:t>that</w:t>
      </w:r>
      <w:r>
        <w:rPr>
          <w:spacing w:val="-9"/>
          <w:sz w:val="20"/>
        </w:rPr>
        <w:t> </w:t>
      </w:r>
      <w:r>
        <w:rPr>
          <w:sz w:val="20"/>
        </w:rPr>
        <w:t>there</w:t>
      </w:r>
      <w:r>
        <w:rPr>
          <w:spacing w:val="-8"/>
          <w:sz w:val="20"/>
        </w:rPr>
        <w:t> </w:t>
      </w:r>
      <w:r>
        <w:rPr>
          <w:sz w:val="20"/>
        </w:rPr>
        <w:t>was</w:t>
      </w:r>
      <w:r>
        <w:rPr>
          <w:spacing w:val="-9"/>
          <w:sz w:val="20"/>
        </w:rPr>
        <w:t> </w:t>
      </w:r>
      <w:r>
        <w:rPr>
          <w:sz w:val="20"/>
        </w:rPr>
        <w:t>not</w:t>
      </w:r>
      <w:r>
        <w:rPr>
          <w:spacing w:val="-8"/>
          <w:sz w:val="20"/>
        </w:rPr>
        <w:t> </w:t>
      </w:r>
      <w:r>
        <w:rPr>
          <w:sz w:val="20"/>
        </w:rPr>
        <w:t>one</w:t>
      </w:r>
      <w:r>
        <w:rPr>
          <w:spacing w:val="-8"/>
          <w:sz w:val="20"/>
        </w:rPr>
        <w:t> </w:t>
      </w:r>
      <w:r>
        <w:rPr>
          <w:sz w:val="20"/>
        </w:rPr>
        <w:t>(1)</w:t>
      </w:r>
      <w:r>
        <w:rPr>
          <w:spacing w:val="-10"/>
          <w:sz w:val="20"/>
        </w:rPr>
        <w:t> </w:t>
      </w:r>
      <w:r>
        <w:rPr>
          <w:sz w:val="20"/>
        </w:rPr>
        <w:t>single</w:t>
      </w:r>
      <w:r>
        <w:rPr>
          <w:spacing w:val="-8"/>
          <w:sz w:val="20"/>
        </w:rPr>
        <w:t> </w:t>
      </w:r>
      <w:r>
        <w:rPr>
          <w:sz w:val="20"/>
        </w:rPr>
        <w:t>contravention or</w:t>
      </w:r>
      <w:r>
        <w:rPr>
          <w:spacing w:val="-11"/>
          <w:sz w:val="20"/>
        </w:rPr>
        <w:t> </w:t>
      </w:r>
      <w:r>
        <w:rPr>
          <w:sz w:val="20"/>
        </w:rPr>
        <w:t>breach</w:t>
      </w:r>
      <w:r>
        <w:rPr>
          <w:spacing w:val="-10"/>
          <w:sz w:val="20"/>
        </w:rPr>
        <w:t> </w:t>
      </w:r>
      <w:r>
        <w:rPr>
          <w:sz w:val="20"/>
        </w:rPr>
        <w:t>of</w:t>
      </w:r>
      <w:r>
        <w:rPr>
          <w:spacing w:val="-11"/>
          <w:sz w:val="20"/>
        </w:rPr>
        <w:t> </w:t>
      </w:r>
      <w:r>
        <w:rPr>
          <w:sz w:val="20"/>
        </w:rPr>
        <w:t>any</w:t>
      </w:r>
      <w:r>
        <w:rPr>
          <w:spacing w:val="-10"/>
          <w:sz w:val="20"/>
        </w:rPr>
        <w:t> </w:t>
      </w:r>
      <w:r>
        <w:rPr>
          <w:sz w:val="20"/>
        </w:rPr>
        <w:t>law,</w:t>
      </w:r>
      <w:r>
        <w:rPr>
          <w:spacing w:val="-12"/>
          <w:sz w:val="20"/>
        </w:rPr>
        <w:t> </w:t>
      </w:r>
      <w:r>
        <w:rPr>
          <w:sz w:val="20"/>
        </w:rPr>
        <w:t>any</w:t>
      </w:r>
      <w:r>
        <w:rPr>
          <w:spacing w:val="-10"/>
          <w:sz w:val="20"/>
        </w:rPr>
        <w:t> </w:t>
      </w:r>
      <w:r>
        <w:rPr>
          <w:sz w:val="20"/>
        </w:rPr>
        <w:t>contract,</w:t>
      </w:r>
      <w:r>
        <w:rPr>
          <w:spacing w:val="-11"/>
          <w:sz w:val="20"/>
        </w:rPr>
        <w:t> </w:t>
      </w:r>
      <w:r>
        <w:rPr>
          <w:sz w:val="20"/>
        </w:rPr>
        <w:t>not</w:t>
      </w:r>
      <w:r>
        <w:rPr>
          <w:spacing w:val="-11"/>
          <w:sz w:val="20"/>
        </w:rPr>
        <w:t> </w:t>
      </w:r>
      <w:r>
        <w:rPr>
          <w:sz w:val="20"/>
        </w:rPr>
        <w:t>one</w:t>
      </w:r>
      <w:r>
        <w:rPr>
          <w:spacing w:val="-11"/>
          <w:sz w:val="20"/>
        </w:rPr>
        <w:t> </w:t>
      </w:r>
      <w:r>
        <w:rPr>
          <w:sz w:val="20"/>
        </w:rPr>
        <w:t>(1)</w:t>
      </w:r>
      <w:r>
        <w:rPr>
          <w:spacing w:val="-10"/>
          <w:sz w:val="20"/>
        </w:rPr>
        <w:t> </w:t>
      </w:r>
      <w:r>
        <w:rPr>
          <w:sz w:val="20"/>
        </w:rPr>
        <w:t>single</w:t>
      </w:r>
      <w:r>
        <w:rPr>
          <w:spacing w:val="-11"/>
          <w:sz w:val="20"/>
        </w:rPr>
        <w:t> </w:t>
      </w:r>
      <w:r>
        <w:rPr>
          <w:sz w:val="20"/>
        </w:rPr>
        <w:t>breach</w:t>
      </w:r>
      <w:r>
        <w:rPr>
          <w:spacing w:val="-11"/>
          <w:sz w:val="20"/>
        </w:rPr>
        <w:t> </w:t>
      </w:r>
      <w:r>
        <w:rPr>
          <w:sz w:val="20"/>
        </w:rPr>
        <w:t>of</w:t>
      </w:r>
      <w:r>
        <w:rPr>
          <w:spacing w:val="-11"/>
          <w:sz w:val="20"/>
        </w:rPr>
        <w:t> </w:t>
      </w:r>
      <w:r>
        <w:rPr>
          <w:sz w:val="20"/>
        </w:rPr>
        <w:t>any</w:t>
      </w:r>
      <w:r>
        <w:rPr>
          <w:spacing w:val="-12"/>
          <w:sz w:val="20"/>
        </w:rPr>
        <w:t> </w:t>
      </w:r>
      <w:r>
        <w:rPr>
          <w:sz w:val="20"/>
        </w:rPr>
        <w:t>aspect</w:t>
      </w:r>
      <w:r>
        <w:rPr>
          <w:spacing w:val="-11"/>
          <w:sz w:val="20"/>
        </w:rPr>
        <w:t> </w:t>
      </w:r>
      <w:r>
        <w:rPr>
          <w:sz w:val="20"/>
        </w:rPr>
        <w:t>of</w:t>
      </w:r>
      <w:r>
        <w:rPr>
          <w:spacing w:val="-11"/>
          <w:sz w:val="20"/>
        </w:rPr>
        <w:t> </w:t>
      </w:r>
      <w:r>
        <w:rPr>
          <w:sz w:val="20"/>
        </w:rPr>
        <w:t>a</w:t>
      </w:r>
      <w:r>
        <w:rPr>
          <w:spacing w:val="-10"/>
          <w:sz w:val="20"/>
        </w:rPr>
        <w:t> </w:t>
      </w:r>
      <w:r>
        <w:rPr>
          <w:sz w:val="20"/>
        </w:rPr>
        <w:t>director’s</w:t>
      </w:r>
      <w:r>
        <w:rPr>
          <w:spacing w:val="-11"/>
          <w:sz w:val="20"/>
        </w:rPr>
        <w:t> </w:t>
      </w:r>
      <w:r>
        <w:rPr>
          <w:sz w:val="20"/>
        </w:rPr>
        <w:t>or</w:t>
      </w:r>
      <w:r>
        <w:rPr>
          <w:spacing w:val="-11"/>
          <w:sz w:val="20"/>
        </w:rPr>
        <w:t> </w:t>
      </w:r>
      <w:r>
        <w:rPr>
          <w:sz w:val="20"/>
        </w:rPr>
        <w:t>officer’s legal and fiduciary duty, and not one (1) single breach of the KRN</w:t>
      </w:r>
      <w:r>
        <w:rPr>
          <w:spacing w:val="-17"/>
          <w:sz w:val="20"/>
        </w:rPr>
        <w:t> </w:t>
      </w:r>
      <w:r>
        <w:rPr>
          <w:sz w:val="20"/>
        </w:rPr>
        <w:t>Code.</w:t>
      </w:r>
    </w:p>
    <w:p>
      <w:pPr>
        <w:pStyle w:val="BodyText"/>
        <w:spacing w:before="11"/>
      </w:pPr>
    </w:p>
    <w:p>
      <w:pPr>
        <w:pStyle w:val="ListParagraph"/>
        <w:numPr>
          <w:ilvl w:val="0"/>
          <w:numId w:val="1"/>
        </w:numPr>
        <w:tabs>
          <w:tab w:pos="840" w:val="left" w:leader="none"/>
        </w:tabs>
        <w:spacing w:line="360" w:lineRule="auto" w:before="0" w:after="0"/>
        <w:ind w:left="838" w:right="1196" w:hanging="720"/>
        <w:jc w:val="both"/>
        <w:rPr>
          <w:sz w:val="20"/>
        </w:rPr>
      </w:pPr>
      <w:r>
        <w:rPr>
          <w:sz w:val="20"/>
        </w:rPr>
        <w:t>I verily believe that MLT Aikins had been instructed by the KRN Board and Favreau to try and impugn my credibility, rather than to investigate my legitimate concerns as a significant shareholder, and that the conclusions of MLT Aikins are an intentional, and a total, whitewash of our</w:t>
      </w:r>
      <w:r>
        <w:rPr>
          <w:spacing w:val="-1"/>
          <w:sz w:val="20"/>
        </w:rPr>
        <w:t> </w:t>
      </w:r>
      <w:r>
        <w:rPr>
          <w:sz w:val="20"/>
        </w:rPr>
        <w:t>concerns.</w:t>
      </w:r>
    </w:p>
    <w:p>
      <w:pPr>
        <w:pStyle w:val="BodyText"/>
        <w:spacing w:before="9"/>
      </w:pPr>
    </w:p>
    <w:p>
      <w:pPr>
        <w:pStyle w:val="Heading1"/>
        <w:numPr>
          <w:ilvl w:val="0"/>
          <w:numId w:val="6"/>
        </w:numPr>
        <w:tabs>
          <w:tab w:pos="839" w:val="left" w:leader="none"/>
          <w:tab w:pos="840" w:val="left" w:leader="none"/>
        </w:tabs>
        <w:spacing w:line="240" w:lineRule="auto" w:before="0" w:after="0"/>
        <w:ind w:left="839" w:right="0" w:hanging="720"/>
        <w:jc w:val="left"/>
        <w:rPr>
          <w:u w:val="none"/>
        </w:rPr>
      </w:pPr>
      <w:r>
        <w:rPr>
          <w:u w:val="thick"/>
        </w:rPr>
        <w:t>Letters to TSX and</w:t>
      </w:r>
      <w:r>
        <w:rPr>
          <w:spacing w:val="-6"/>
          <w:u w:val="thick"/>
        </w:rPr>
        <w:t> </w:t>
      </w:r>
      <w:r>
        <w:rPr>
          <w:u w:val="thick"/>
        </w:rPr>
        <w:t>OSC</w:t>
      </w:r>
    </w:p>
    <w:p>
      <w:pPr>
        <w:pStyle w:val="BodyText"/>
        <w:spacing w:before="7"/>
        <w:rPr>
          <w:b/>
          <w:sz w:val="1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The Concerned Shareholders also wrote to the TSX, and copied the OSC, on multiple occasions. Attached</w:t>
      </w:r>
      <w:r>
        <w:rPr>
          <w:spacing w:val="-10"/>
          <w:sz w:val="20"/>
        </w:rPr>
        <w:t> </w:t>
      </w:r>
      <w:r>
        <w:rPr>
          <w:sz w:val="20"/>
        </w:rPr>
        <w:t>and</w:t>
      </w:r>
      <w:r>
        <w:rPr>
          <w:spacing w:val="-10"/>
          <w:sz w:val="20"/>
        </w:rPr>
        <w:t> </w:t>
      </w:r>
      <w:r>
        <w:rPr>
          <w:sz w:val="20"/>
        </w:rPr>
        <w:t>marked</w:t>
      </w:r>
      <w:r>
        <w:rPr>
          <w:spacing w:val="-10"/>
          <w:sz w:val="20"/>
        </w:rPr>
        <w:t> </w:t>
      </w:r>
      <w:r>
        <w:rPr>
          <w:sz w:val="20"/>
        </w:rPr>
        <w:t>as</w:t>
      </w:r>
      <w:r>
        <w:rPr>
          <w:spacing w:val="-10"/>
          <w:sz w:val="20"/>
        </w:rPr>
        <w:t> </w:t>
      </w:r>
      <w:r>
        <w:rPr>
          <w:b/>
          <w:sz w:val="20"/>
        </w:rPr>
        <w:t>Exhibit</w:t>
      </w:r>
      <w:r>
        <w:rPr>
          <w:b/>
          <w:spacing w:val="-8"/>
          <w:sz w:val="20"/>
        </w:rPr>
        <w:t> </w:t>
      </w:r>
      <w:r>
        <w:rPr>
          <w:b/>
          <w:sz w:val="20"/>
        </w:rPr>
        <w:t>“PP”</w:t>
      </w:r>
      <w:r>
        <w:rPr>
          <w:b/>
          <w:spacing w:val="-9"/>
          <w:sz w:val="20"/>
        </w:rPr>
        <w:t> </w:t>
      </w:r>
      <w:r>
        <w:rPr>
          <w:sz w:val="20"/>
        </w:rPr>
        <w:t>to</w:t>
      </w:r>
      <w:r>
        <w:rPr>
          <w:spacing w:val="-11"/>
          <w:sz w:val="20"/>
        </w:rPr>
        <w:t> </w:t>
      </w:r>
      <w:r>
        <w:rPr>
          <w:sz w:val="20"/>
        </w:rPr>
        <w:t>the</w:t>
      </w:r>
      <w:r>
        <w:rPr>
          <w:spacing w:val="-9"/>
          <w:sz w:val="20"/>
        </w:rPr>
        <w:t> </w:t>
      </w:r>
      <w:r>
        <w:rPr>
          <w:sz w:val="20"/>
        </w:rPr>
        <w:t>FDW</w:t>
      </w:r>
      <w:r>
        <w:rPr>
          <w:spacing w:val="-9"/>
          <w:sz w:val="20"/>
        </w:rPr>
        <w:t> </w:t>
      </w:r>
      <w:r>
        <w:rPr>
          <w:sz w:val="20"/>
        </w:rPr>
        <w:t>Affidavit</w:t>
      </w:r>
      <w:r>
        <w:rPr>
          <w:spacing w:val="-11"/>
          <w:sz w:val="20"/>
        </w:rPr>
        <w:t> </w:t>
      </w:r>
      <w:r>
        <w:rPr>
          <w:sz w:val="20"/>
        </w:rPr>
        <w:t>is</w:t>
      </w:r>
      <w:r>
        <w:rPr>
          <w:spacing w:val="-8"/>
          <w:sz w:val="20"/>
        </w:rPr>
        <w:t> </w:t>
      </w:r>
      <w:r>
        <w:rPr>
          <w:sz w:val="20"/>
        </w:rPr>
        <w:t>a</w:t>
      </w:r>
      <w:r>
        <w:rPr>
          <w:spacing w:val="-9"/>
          <w:sz w:val="20"/>
        </w:rPr>
        <w:t> </w:t>
      </w:r>
      <w:r>
        <w:rPr>
          <w:sz w:val="20"/>
        </w:rPr>
        <w:t>copy</w:t>
      </w:r>
      <w:r>
        <w:rPr>
          <w:spacing w:val="-9"/>
          <w:sz w:val="20"/>
        </w:rPr>
        <w:t> </w:t>
      </w:r>
      <w:r>
        <w:rPr>
          <w:sz w:val="20"/>
        </w:rPr>
        <w:t>of</w:t>
      </w:r>
      <w:r>
        <w:rPr>
          <w:spacing w:val="-10"/>
          <w:sz w:val="20"/>
        </w:rPr>
        <w:t> </w:t>
      </w:r>
      <w:r>
        <w:rPr>
          <w:sz w:val="20"/>
        </w:rPr>
        <w:t>our</w:t>
      </w:r>
      <w:r>
        <w:rPr>
          <w:spacing w:val="-9"/>
          <w:sz w:val="20"/>
        </w:rPr>
        <w:t> </w:t>
      </w:r>
      <w:r>
        <w:rPr>
          <w:sz w:val="20"/>
        </w:rPr>
        <w:t>letters</w:t>
      </w:r>
      <w:r>
        <w:rPr>
          <w:spacing w:val="-9"/>
          <w:sz w:val="20"/>
        </w:rPr>
        <w:t> </w:t>
      </w:r>
      <w:r>
        <w:rPr>
          <w:sz w:val="20"/>
        </w:rPr>
        <w:t>of</w:t>
      </w:r>
      <w:r>
        <w:rPr>
          <w:spacing w:val="-10"/>
          <w:sz w:val="20"/>
        </w:rPr>
        <w:t> </w:t>
      </w:r>
      <w:r>
        <w:rPr>
          <w:sz w:val="20"/>
        </w:rPr>
        <w:t>July</w:t>
      </w:r>
      <w:r>
        <w:rPr>
          <w:spacing w:val="-8"/>
          <w:sz w:val="20"/>
        </w:rPr>
        <w:t> </w:t>
      </w:r>
      <w:r>
        <w:rPr>
          <w:sz w:val="20"/>
        </w:rPr>
        <w:t>15,</w:t>
      </w:r>
      <w:r>
        <w:rPr>
          <w:spacing w:val="-10"/>
          <w:sz w:val="20"/>
        </w:rPr>
        <w:t> </w:t>
      </w:r>
      <w:r>
        <w:rPr>
          <w:sz w:val="20"/>
        </w:rPr>
        <w:t>2020, August 4, 2020, September 23, 2020, and November 26, 2020, to the</w:t>
      </w:r>
      <w:r>
        <w:rPr>
          <w:spacing w:val="-15"/>
          <w:sz w:val="20"/>
        </w:rPr>
        <w:t> </w:t>
      </w:r>
      <w:r>
        <w:rPr>
          <w:sz w:val="20"/>
        </w:rPr>
        <w:t>TSX.</w:t>
      </w:r>
    </w:p>
    <w:p>
      <w:pPr>
        <w:pStyle w:val="BodyText"/>
        <w:spacing w:before="11"/>
      </w:pPr>
    </w:p>
    <w:p>
      <w:pPr>
        <w:pStyle w:val="Heading1"/>
        <w:numPr>
          <w:ilvl w:val="0"/>
          <w:numId w:val="7"/>
        </w:numPr>
        <w:tabs>
          <w:tab w:pos="839" w:val="left" w:leader="none"/>
          <w:tab w:pos="840" w:val="left" w:leader="none"/>
        </w:tabs>
        <w:spacing w:line="240" w:lineRule="auto" w:before="0" w:after="0"/>
        <w:ind w:left="839" w:right="0" w:hanging="720"/>
        <w:jc w:val="left"/>
        <w:rPr>
          <w:u w:val="none"/>
        </w:rPr>
      </w:pPr>
      <w:r>
        <w:rPr>
          <w:u w:val="thick"/>
        </w:rPr>
        <w:t>Letters to</w:t>
      </w:r>
      <w:r>
        <w:rPr>
          <w:spacing w:val="-3"/>
          <w:u w:val="thick"/>
        </w:rPr>
        <w:t> </w:t>
      </w:r>
      <w:r>
        <w:rPr>
          <w:u w:val="thick"/>
        </w:rPr>
        <w:t>GSFC</w:t>
      </w:r>
    </w:p>
    <w:p>
      <w:pPr>
        <w:pStyle w:val="BodyText"/>
        <w:spacing w:before="7"/>
        <w:rPr>
          <w:b/>
          <w:sz w:val="1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The Concerned Shareholders also wrote to the GSFC MD on two occasions. GSFC did not respond to either letter. Attached and marked as </w:t>
      </w:r>
      <w:r>
        <w:rPr>
          <w:b/>
          <w:sz w:val="20"/>
        </w:rPr>
        <w:t>Exhibit “QQ” </w:t>
      </w:r>
      <w:r>
        <w:rPr>
          <w:sz w:val="20"/>
        </w:rPr>
        <w:t>to the FDW Affidavit is a copy of our letters of July 28, 2020 and October 15, 2020 to the GSFC</w:t>
      </w:r>
      <w:r>
        <w:rPr>
          <w:spacing w:val="-15"/>
          <w:sz w:val="20"/>
        </w:rPr>
        <w:t> </w:t>
      </w:r>
      <w:r>
        <w:rPr>
          <w:sz w:val="20"/>
        </w:rPr>
        <w:t>MD.</w:t>
      </w:r>
    </w:p>
    <w:p>
      <w:pPr>
        <w:spacing w:after="0" w:line="360" w:lineRule="auto"/>
        <w:jc w:val="both"/>
        <w:rPr>
          <w:sz w:val="20"/>
        </w:rPr>
        <w:sectPr>
          <w:pgSz w:w="12240" w:h="15840"/>
          <w:pgMar w:header="0" w:footer="971" w:top="1220" w:bottom="1160" w:left="1320" w:right="240"/>
        </w:sectPr>
      </w:pPr>
    </w:p>
    <w:p>
      <w:pPr>
        <w:pStyle w:val="Heading1"/>
        <w:numPr>
          <w:ilvl w:val="0"/>
          <w:numId w:val="7"/>
        </w:numPr>
        <w:tabs>
          <w:tab w:pos="839" w:val="left" w:leader="none"/>
          <w:tab w:pos="841" w:val="left" w:leader="none"/>
        </w:tabs>
        <w:spacing w:line="240" w:lineRule="auto" w:before="75" w:after="0"/>
        <w:ind w:left="840" w:right="0" w:hanging="721"/>
        <w:jc w:val="left"/>
        <w:rPr>
          <w:u w:val="none"/>
        </w:rPr>
      </w:pPr>
      <w:r>
        <w:rPr>
          <w:u w:val="thick"/>
        </w:rPr>
        <w:t>Dissident Proxy</w:t>
      </w:r>
      <w:r>
        <w:rPr>
          <w:spacing w:val="-2"/>
          <w:u w:val="thick"/>
        </w:rPr>
        <w:t> </w:t>
      </w:r>
      <w:r>
        <w:rPr>
          <w:u w:val="thick"/>
        </w:rPr>
        <w:t>Circular</w:t>
      </w:r>
    </w:p>
    <w:p>
      <w:pPr>
        <w:pStyle w:val="BodyText"/>
        <w:spacing w:before="8"/>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On December 4, 2020, the Concerned Shareholders issued a dissident information circular (the “</w:t>
      </w:r>
      <w:r>
        <w:rPr>
          <w:b/>
          <w:sz w:val="20"/>
        </w:rPr>
        <w:t>Dissident</w:t>
      </w:r>
      <w:r>
        <w:rPr>
          <w:b/>
          <w:spacing w:val="-12"/>
          <w:sz w:val="20"/>
        </w:rPr>
        <w:t> </w:t>
      </w:r>
      <w:r>
        <w:rPr>
          <w:b/>
          <w:sz w:val="20"/>
        </w:rPr>
        <w:t>Circular</w:t>
      </w:r>
      <w:r>
        <w:rPr>
          <w:sz w:val="20"/>
        </w:rPr>
        <w:t>”)</w:t>
      </w:r>
      <w:r>
        <w:rPr>
          <w:spacing w:val="-11"/>
          <w:sz w:val="20"/>
        </w:rPr>
        <w:t> </w:t>
      </w:r>
      <w:r>
        <w:rPr>
          <w:sz w:val="20"/>
        </w:rPr>
        <w:t>recommending</w:t>
      </w:r>
      <w:r>
        <w:rPr>
          <w:spacing w:val="-11"/>
          <w:sz w:val="20"/>
        </w:rPr>
        <w:t> </w:t>
      </w:r>
      <w:r>
        <w:rPr>
          <w:sz w:val="20"/>
        </w:rPr>
        <w:t>that</w:t>
      </w:r>
      <w:r>
        <w:rPr>
          <w:spacing w:val="-12"/>
          <w:sz w:val="20"/>
        </w:rPr>
        <w:t> </w:t>
      </w:r>
      <w:r>
        <w:rPr>
          <w:sz w:val="20"/>
        </w:rPr>
        <w:t>KRN</w:t>
      </w:r>
      <w:r>
        <w:rPr>
          <w:spacing w:val="-11"/>
          <w:sz w:val="20"/>
        </w:rPr>
        <w:t> </w:t>
      </w:r>
      <w:r>
        <w:rPr>
          <w:sz w:val="20"/>
        </w:rPr>
        <w:t>Shareholders</w:t>
      </w:r>
      <w:r>
        <w:rPr>
          <w:spacing w:val="-12"/>
          <w:sz w:val="20"/>
        </w:rPr>
        <w:t> </w:t>
      </w:r>
      <w:r>
        <w:rPr>
          <w:sz w:val="20"/>
        </w:rPr>
        <w:t>vote</w:t>
      </w:r>
      <w:r>
        <w:rPr>
          <w:spacing w:val="-11"/>
          <w:sz w:val="20"/>
        </w:rPr>
        <w:t> </w:t>
      </w:r>
      <w:r>
        <w:rPr>
          <w:sz w:val="20"/>
        </w:rPr>
        <w:t>in</w:t>
      </w:r>
      <w:r>
        <w:rPr>
          <w:spacing w:val="-10"/>
          <w:sz w:val="20"/>
        </w:rPr>
        <w:t> </w:t>
      </w:r>
      <w:r>
        <w:rPr>
          <w:sz w:val="20"/>
        </w:rPr>
        <w:t>favor</w:t>
      </w:r>
      <w:r>
        <w:rPr>
          <w:spacing w:val="-11"/>
          <w:sz w:val="20"/>
        </w:rPr>
        <w:t> </w:t>
      </w:r>
      <w:r>
        <w:rPr>
          <w:sz w:val="20"/>
        </w:rPr>
        <w:t>of</w:t>
      </w:r>
      <w:r>
        <w:rPr>
          <w:spacing w:val="-12"/>
          <w:sz w:val="20"/>
        </w:rPr>
        <w:t> </w:t>
      </w:r>
      <w:r>
        <w:rPr>
          <w:sz w:val="20"/>
        </w:rPr>
        <w:t>electing</w:t>
      </w:r>
      <w:r>
        <w:rPr>
          <w:spacing w:val="-11"/>
          <w:sz w:val="20"/>
        </w:rPr>
        <w:t> </w:t>
      </w:r>
      <w:r>
        <w:rPr>
          <w:sz w:val="20"/>
        </w:rPr>
        <w:t>a</w:t>
      </w:r>
      <w:r>
        <w:rPr>
          <w:spacing w:val="-11"/>
          <w:sz w:val="20"/>
        </w:rPr>
        <w:t> </w:t>
      </w:r>
      <w:r>
        <w:rPr>
          <w:sz w:val="20"/>
        </w:rPr>
        <w:t>KRN</w:t>
      </w:r>
      <w:r>
        <w:rPr>
          <w:spacing w:val="-11"/>
          <w:sz w:val="20"/>
        </w:rPr>
        <w:t> </w:t>
      </w:r>
      <w:r>
        <w:rPr>
          <w:sz w:val="20"/>
        </w:rPr>
        <w:t>Board consisting</w:t>
      </w:r>
      <w:r>
        <w:rPr>
          <w:spacing w:val="-10"/>
          <w:sz w:val="20"/>
        </w:rPr>
        <w:t> </w:t>
      </w:r>
      <w:r>
        <w:rPr>
          <w:sz w:val="20"/>
        </w:rPr>
        <w:t>of</w:t>
      </w:r>
      <w:r>
        <w:rPr>
          <w:spacing w:val="-10"/>
          <w:sz w:val="20"/>
        </w:rPr>
        <w:t> </w:t>
      </w:r>
      <w:r>
        <w:rPr>
          <w:sz w:val="20"/>
        </w:rPr>
        <w:t>six</w:t>
      </w:r>
      <w:r>
        <w:rPr>
          <w:spacing w:val="-9"/>
          <w:sz w:val="20"/>
        </w:rPr>
        <w:t> </w:t>
      </w:r>
      <w:r>
        <w:rPr>
          <w:sz w:val="20"/>
        </w:rPr>
        <w:t>(6)</w:t>
      </w:r>
      <w:r>
        <w:rPr>
          <w:spacing w:val="-9"/>
          <w:sz w:val="20"/>
        </w:rPr>
        <w:t> </w:t>
      </w:r>
      <w:r>
        <w:rPr>
          <w:sz w:val="20"/>
        </w:rPr>
        <w:t>directors</w:t>
      </w:r>
      <w:r>
        <w:rPr>
          <w:spacing w:val="-8"/>
          <w:sz w:val="20"/>
        </w:rPr>
        <w:t> </w:t>
      </w:r>
      <w:r>
        <w:rPr>
          <w:sz w:val="20"/>
        </w:rPr>
        <w:t>as</w:t>
      </w:r>
      <w:r>
        <w:rPr>
          <w:spacing w:val="-9"/>
          <w:sz w:val="20"/>
        </w:rPr>
        <w:t> </w:t>
      </w:r>
      <w:r>
        <w:rPr>
          <w:sz w:val="20"/>
        </w:rPr>
        <w:t>set</w:t>
      </w:r>
      <w:r>
        <w:rPr>
          <w:spacing w:val="-10"/>
          <w:sz w:val="20"/>
        </w:rPr>
        <w:t> </w:t>
      </w:r>
      <w:r>
        <w:rPr>
          <w:sz w:val="20"/>
        </w:rPr>
        <w:t>out</w:t>
      </w:r>
      <w:r>
        <w:rPr>
          <w:spacing w:val="-11"/>
          <w:sz w:val="20"/>
        </w:rPr>
        <w:t> </w:t>
      </w:r>
      <w:r>
        <w:rPr>
          <w:sz w:val="20"/>
        </w:rPr>
        <w:t>in</w:t>
      </w:r>
      <w:r>
        <w:rPr>
          <w:spacing w:val="-9"/>
          <w:sz w:val="20"/>
        </w:rPr>
        <w:t> </w:t>
      </w:r>
      <w:r>
        <w:rPr>
          <w:sz w:val="20"/>
        </w:rPr>
        <w:t>the</w:t>
      </w:r>
      <w:r>
        <w:rPr>
          <w:spacing w:val="-9"/>
          <w:sz w:val="20"/>
        </w:rPr>
        <w:t> </w:t>
      </w:r>
      <w:r>
        <w:rPr>
          <w:sz w:val="20"/>
        </w:rPr>
        <w:t>Requisition.</w:t>
      </w:r>
      <w:r>
        <w:rPr>
          <w:spacing w:val="36"/>
          <w:sz w:val="20"/>
        </w:rPr>
        <w:t> </w:t>
      </w:r>
      <w:r>
        <w:rPr>
          <w:sz w:val="20"/>
        </w:rPr>
        <w:t>The</w:t>
      </w:r>
      <w:r>
        <w:rPr>
          <w:spacing w:val="-9"/>
          <w:sz w:val="20"/>
        </w:rPr>
        <w:t> </w:t>
      </w:r>
      <w:r>
        <w:rPr>
          <w:sz w:val="20"/>
        </w:rPr>
        <w:t>Dissident</w:t>
      </w:r>
      <w:r>
        <w:rPr>
          <w:spacing w:val="-10"/>
          <w:sz w:val="20"/>
        </w:rPr>
        <w:t> </w:t>
      </w:r>
      <w:r>
        <w:rPr>
          <w:sz w:val="20"/>
        </w:rPr>
        <w:t>Circular</w:t>
      </w:r>
      <w:r>
        <w:rPr>
          <w:spacing w:val="-10"/>
          <w:sz w:val="20"/>
        </w:rPr>
        <w:t> </w:t>
      </w:r>
      <w:r>
        <w:rPr>
          <w:sz w:val="20"/>
        </w:rPr>
        <w:t>also</w:t>
      </w:r>
      <w:r>
        <w:rPr>
          <w:spacing w:val="-9"/>
          <w:sz w:val="20"/>
        </w:rPr>
        <w:t> </w:t>
      </w:r>
      <w:r>
        <w:rPr>
          <w:sz w:val="20"/>
        </w:rPr>
        <w:t>summarized our concerns with the KRN Board’s and management’s actions and conduct, as well as our concerns with the KRN Circular. Attached and marked as </w:t>
      </w:r>
      <w:r>
        <w:rPr>
          <w:b/>
          <w:sz w:val="20"/>
        </w:rPr>
        <w:t>Exhibit “RR” </w:t>
      </w:r>
      <w:r>
        <w:rPr>
          <w:sz w:val="20"/>
        </w:rPr>
        <w:t>to the FDW Affidavit is a copy of the Dissident</w:t>
      </w:r>
      <w:r>
        <w:rPr>
          <w:spacing w:val="-4"/>
          <w:sz w:val="20"/>
        </w:rPr>
        <w:t> </w:t>
      </w:r>
      <w:r>
        <w:rPr>
          <w:sz w:val="20"/>
        </w:rPr>
        <w:t>Circular.</w:t>
      </w:r>
    </w:p>
    <w:p>
      <w:pPr>
        <w:pStyle w:val="BodyText"/>
        <w:spacing w:before="10"/>
      </w:pPr>
    </w:p>
    <w:p>
      <w:pPr>
        <w:pStyle w:val="Heading1"/>
        <w:ind w:left="119" w:firstLine="0"/>
        <w:rPr>
          <w:u w:val="none"/>
        </w:rPr>
      </w:pPr>
      <w:r>
        <w:rPr>
          <w:u w:val="none"/>
        </w:rPr>
        <w:t>Delay in Holding Special Meeting for an Improper Purpose</w:t>
      </w:r>
    </w:p>
    <w:p>
      <w:pPr>
        <w:pStyle w:val="BodyText"/>
        <w:spacing w:before="11"/>
        <w:rPr>
          <w:b/>
          <w:sz w:val="30"/>
        </w:rPr>
      </w:pPr>
    </w:p>
    <w:p>
      <w:pPr>
        <w:pStyle w:val="ListParagraph"/>
        <w:numPr>
          <w:ilvl w:val="0"/>
          <w:numId w:val="1"/>
        </w:numPr>
        <w:tabs>
          <w:tab w:pos="841" w:val="left" w:leader="none"/>
        </w:tabs>
        <w:spacing w:line="360" w:lineRule="auto" w:before="0" w:after="0"/>
        <w:ind w:left="839" w:right="1197" w:hanging="720"/>
        <w:jc w:val="both"/>
        <w:rPr>
          <w:sz w:val="20"/>
        </w:rPr>
      </w:pPr>
      <w:r>
        <w:rPr>
          <w:sz w:val="20"/>
        </w:rPr>
        <w:t>On July 27, 2020, when KRN issued the Notice for the Special Meeting to be held on December 15, 2020 (the “</w:t>
      </w:r>
      <w:r>
        <w:rPr>
          <w:b/>
          <w:sz w:val="20"/>
        </w:rPr>
        <w:t>Special Meeting Date</w:t>
      </w:r>
      <w:r>
        <w:rPr>
          <w:sz w:val="20"/>
        </w:rPr>
        <w:t>”), the Special Meeting Date was almost five and one-half (5½) months after the date of the</w:t>
      </w:r>
      <w:r>
        <w:rPr>
          <w:spacing w:val="-7"/>
          <w:sz w:val="20"/>
        </w:rPr>
        <w:t> </w:t>
      </w:r>
      <w:r>
        <w:rPr>
          <w:sz w:val="20"/>
        </w:rPr>
        <w:t>Requisition.</w:t>
      </w:r>
    </w:p>
    <w:p>
      <w:pPr>
        <w:pStyle w:val="BodyText"/>
        <w:spacing w:before="9"/>
        <w:rPr>
          <w:sz w:val="30"/>
        </w:rPr>
      </w:pPr>
    </w:p>
    <w:p>
      <w:pPr>
        <w:pStyle w:val="ListParagraph"/>
        <w:numPr>
          <w:ilvl w:val="0"/>
          <w:numId w:val="1"/>
        </w:numPr>
        <w:tabs>
          <w:tab w:pos="840" w:val="left" w:leader="none"/>
        </w:tabs>
        <w:spacing w:line="360" w:lineRule="auto" w:before="0" w:after="0"/>
        <w:ind w:left="839" w:right="1197" w:hanging="721"/>
        <w:jc w:val="both"/>
        <w:rPr>
          <w:sz w:val="20"/>
        </w:rPr>
      </w:pPr>
      <w:r>
        <w:rPr>
          <w:sz w:val="20"/>
        </w:rPr>
        <w:t>I verily believe that, based on my experience investing in Canadian publicly listed companies, meetings of shareholders of Canadian public companies are typically held within 30 to 60 days of being</w:t>
      </w:r>
      <w:r>
        <w:rPr>
          <w:spacing w:val="-2"/>
          <w:sz w:val="20"/>
        </w:rPr>
        <w:t> </w:t>
      </w:r>
      <w:r>
        <w:rPr>
          <w:sz w:val="20"/>
        </w:rPr>
        <w:t>called.</w:t>
      </w:r>
    </w:p>
    <w:p>
      <w:pPr>
        <w:pStyle w:val="BodyText"/>
        <w:spacing w:before="4"/>
        <w:rPr>
          <w:sz w:val="30"/>
        </w:rPr>
      </w:pPr>
    </w:p>
    <w:p>
      <w:pPr>
        <w:pStyle w:val="ListParagraph"/>
        <w:numPr>
          <w:ilvl w:val="0"/>
          <w:numId w:val="1"/>
        </w:numPr>
        <w:tabs>
          <w:tab w:pos="840" w:val="left" w:leader="none"/>
        </w:tabs>
        <w:spacing w:line="360" w:lineRule="auto" w:before="0" w:after="0"/>
        <w:ind w:left="839" w:right="1196" w:hanging="720"/>
        <w:jc w:val="both"/>
        <w:rPr>
          <w:sz w:val="20"/>
        </w:rPr>
      </w:pPr>
      <w:r>
        <w:rPr>
          <w:sz w:val="20"/>
        </w:rPr>
        <w:t>I</w:t>
      </w:r>
      <w:r>
        <w:rPr>
          <w:spacing w:val="-4"/>
          <w:sz w:val="20"/>
        </w:rPr>
        <w:t> </w:t>
      </w:r>
      <w:r>
        <w:rPr>
          <w:sz w:val="20"/>
        </w:rPr>
        <w:t>am</w:t>
      </w:r>
      <w:r>
        <w:rPr>
          <w:spacing w:val="-3"/>
          <w:sz w:val="20"/>
        </w:rPr>
        <w:t> </w:t>
      </w:r>
      <w:r>
        <w:rPr>
          <w:sz w:val="20"/>
        </w:rPr>
        <w:t>advised</w:t>
      </w:r>
      <w:r>
        <w:rPr>
          <w:spacing w:val="-3"/>
          <w:sz w:val="20"/>
        </w:rPr>
        <w:t> </w:t>
      </w:r>
      <w:r>
        <w:rPr>
          <w:sz w:val="20"/>
        </w:rPr>
        <w:t>by</w:t>
      </w:r>
      <w:r>
        <w:rPr>
          <w:spacing w:val="-1"/>
          <w:sz w:val="20"/>
        </w:rPr>
        <w:t> </w:t>
      </w:r>
      <w:r>
        <w:rPr>
          <w:sz w:val="20"/>
        </w:rPr>
        <w:t>Rowan,</w:t>
      </w:r>
      <w:r>
        <w:rPr>
          <w:spacing w:val="-4"/>
          <w:sz w:val="20"/>
        </w:rPr>
        <w:t> </w:t>
      </w:r>
      <w:r>
        <w:rPr>
          <w:sz w:val="20"/>
        </w:rPr>
        <w:t>and</w:t>
      </w:r>
      <w:r>
        <w:rPr>
          <w:spacing w:val="-3"/>
          <w:sz w:val="20"/>
        </w:rPr>
        <w:t> </w:t>
      </w:r>
      <w:r>
        <w:rPr>
          <w:sz w:val="20"/>
        </w:rPr>
        <w:t>verily</w:t>
      </w:r>
      <w:r>
        <w:rPr>
          <w:spacing w:val="-1"/>
          <w:sz w:val="20"/>
        </w:rPr>
        <w:t> </w:t>
      </w:r>
      <w:r>
        <w:rPr>
          <w:sz w:val="20"/>
        </w:rPr>
        <w:t>believe</w:t>
      </w:r>
      <w:r>
        <w:rPr>
          <w:spacing w:val="-3"/>
          <w:sz w:val="20"/>
        </w:rPr>
        <w:t> </w:t>
      </w:r>
      <w:r>
        <w:rPr>
          <w:sz w:val="20"/>
        </w:rPr>
        <w:t>that,</w:t>
      </w:r>
      <w:r>
        <w:rPr>
          <w:spacing w:val="-4"/>
          <w:sz w:val="20"/>
        </w:rPr>
        <w:t> </w:t>
      </w:r>
      <w:r>
        <w:rPr>
          <w:sz w:val="20"/>
        </w:rPr>
        <w:t>in</w:t>
      </w:r>
      <w:r>
        <w:rPr>
          <w:spacing w:val="-3"/>
          <w:sz w:val="20"/>
        </w:rPr>
        <w:t> </w:t>
      </w:r>
      <w:r>
        <w:rPr>
          <w:sz w:val="20"/>
        </w:rPr>
        <w:t>May</w:t>
      </w:r>
      <w:r>
        <w:rPr>
          <w:spacing w:val="-1"/>
          <w:sz w:val="20"/>
        </w:rPr>
        <w:t> </w:t>
      </w:r>
      <w:r>
        <w:rPr>
          <w:sz w:val="20"/>
        </w:rPr>
        <w:t>2020,</w:t>
      </w:r>
      <w:r>
        <w:rPr>
          <w:spacing w:val="-4"/>
          <w:sz w:val="20"/>
        </w:rPr>
        <w:t> </w:t>
      </w:r>
      <w:r>
        <w:rPr>
          <w:sz w:val="20"/>
        </w:rPr>
        <w:t>only</w:t>
      </w:r>
      <w:r>
        <w:rPr>
          <w:spacing w:val="-2"/>
          <w:sz w:val="20"/>
        </w:rPr>
        <w:t> </w:t>
      </w:r>
      <w:r>
        <w:rPr>
          <w:sz w:val="20"/>
        </w:rPr>
        <w:t>a</w:t>
      </w:r>
      <w:r>
        <w:rPr>
          <w:spacing w:val="-3"/>
          <w:sz w:val="20"/>
        </w:rPr>
        <w:t> </w:t>
      </w:r>
      <w:r>
        <w:rPr>
          <w:sz w:val="20"/>
        </w:rPr>
        <w:t>month</w:t>
      </w:r>
      <w:r>
        <w:rPr>
          <w:spacing w:val="-3"/>
          <w:sz w:val="20"/>
        </w:rPr>
        <w:t> </w:t>
      </w:r>
      <w:r>
        <w:rPr>
          <w:sz w:val="20"/>
        </w:rPr>
        <w:t>prior</w:t>
      </w:r>
      <w:r>
        <w:rPr>
          <w:spacing w:val="-3"/>
          <w:sz w:val="20"/>
        </w:rPr>
        <w:t> </w:t>
      </w:r>
      <w:r>
        <w:rPr>
          <w:sz w:val="20"/>
        </w:rPr>
        <w:t>to</w:t>
      </w:r>
      <w:r>
        <w:rPr>
          <w:spacing w:val="-3"/>
          <w:sz w:val="20"/>
        </w:rPr>
        <w:t> </w:t>
      </w:r>
      <w:r>
        <w:rPr>
          <w:sz w:val="20"/>
        </w:rPr>
        <w:t>the</w:t>
      </w:r>
      <w:r>
        <w:rPr>
          <w:spacing w:val="-2"/>
          <w:sz w:val="20"/>
        </w:rPr>
        <w:t> </w:t>
      </w:r>
      <w:r>
        <w:rPr>
          <w:sz w:val="20"/>
        </w:rPr>
        <w:t>2020</w:t>
      </w:r>
      <w:r>
        <w:rPr>
          <w:spacing w:val="-3"/>
          <w:sz w:val="20"/>
        </w:rPr>
        <w:t> </w:t>
      </w:r>
      <w:r>
        <w:rPr>
          <w:sz w:val="20"/>
        </w:rPr>
        <w:t>AGM, Varma was reassigned within GSFC, and was removed as a director of KRN, by the GSFC MD. I am advised by Rowan, and verily believe that, both Varma and Favreau were extremely upset by this action and attributed very unkind references to the GSFC</w:t>
      </w:r>
      <w:r>
        <w:rPr>
          <w:spacing w:val="-10"/>
          <w:sz w:val="20"/>
        </w:rPr>
        <w:t> </w:t>
      </w:r>
      <w:r>
        <w:rPr>
          <w:sz w:val="20"/>
        </w:rPr>
        <w:t>MD.</w:t>
      </w:r>
    </w:p>
    <w:p>
      <w:pPr>
        <w:pStyle w:val="BodyText"/>
        <w:spacing w:before="8"/>
        <w:rPr>
          <w:sz w:val="30"/>
        </w:rPr>
      </w:pPr>
    </w:p>
    <w:p>
      <w:pPr>
        <w:pStyle w:val="ListParagraph"/>
        <w:numPr>
          <w:ilvl w:val="0"/>
          <w:numId w:val="1"/>
        </w:numPr>
        <w:tabs>
          <w:tab w:pos="840" w:val="left" w:leader="none"/>
        </w:tabs>
        <w:spacing w:line="360" w:lineRule="auto" w:before="0" w:after="0"/>
        <w:ind w:left="838" w:right="1198" w:hanging="720"/>
        <w:jc w:val="both"/>
        <w:rPr>
          <w:sz w:val="20"/>
        </w:rPr>
      </w:pPr>
      <w:r>
        <w:rPr>
          <w:sz w:val="20"/>
        </w:rPr>
        <w:t>I</w:t>
      </w:r>
      <w:r>
        <w:rPr>
          <w:spacing w:val="-5"/>
          <w:sz w:val="20"/>
        </w:rPr>
        <w:t> </w:t>
      </w:r>
      <w:r>
        <w:rPr>
          <w:sz w:val="20"/>
        </w:rPr>
        <w:t>am</w:t>
      </w:r>
      <w:r>
        <w:rPr>
          <w:spacing w:val="-4"/>
          <w:sz w:val="20"/>
        </w:rPr>
        <w:t> </w:t>
      </w:r>
      <w:r>
        <w:rPr>
          <w:sz w:val="20"/>
        </w:rPr>
        <w:t>advised</w:t>
      </w:r>
      <w:r>
        <w:rPr>
          <w:spacing w:val="-4"/>
          <w:sz w:val="20"/>
        </w:rPr>
        <w:t> </w:t>
      </w:r>
      <w:r>
        <w:rPr>
          <w:sz w:val="20"/>
        </w:rPr>
        <w:t>by</w:t>
      </w:r>
      <w:r>
        <w:rPr>
          <w:spacing w:val="-3"/>
          <w:sz w:val="20"/>
        </w:rPr>
        <w:t> </w:t>
      </w:r>
      <w:r>
        <w:rPr>
          <w:sz w:val="20"/>
        </w:rPr>
        <w:t>Rowan,</w:t>
      </w:r>
      <w:r>
        <w:rPr>
          <w:spacing w:val="-4"/>
          <w:sz w:val="20"/>
        </w:rPr>
        <w:t> </w:t>
      </w:r>
      <w:r>
        <w:rPr>
          <w:sz w:val="20"/>
        </w:rPr>
        <w:t>and</w:t>
      </w:r>
      <w:r>
        <w:rPr>
          <w:spacing w:val="-4"/>
          <w:sz w:val="20"/>
        </w:rPr>
        <w:t> </w:t>
      </w:r>
      <w:r>
        <w:rPr>
          <w:sz w:val="20"/>
        </w:rPr>
        <w:t>verily</w:t>
      </w:r>
      <w:r>
        <w:rPr>
          <w:spacing w:val="-2"/>
          <w:sz w:val="20"/>
        </w:rPr>
        <w:t> </w:t>
      </w:r>
      <w:r>
        <w:rPr>
          <w:sz w:val="20"/>
        </w:rPr>
        <w:t>believe,</w:t>
      </w:r>
      <w:r>
        <w:rPr>
          <w:spacing w:val="-5"/>
          <w:sz w:val="20"/>
        </w:rPr>
        <w:t> </w:t>
      </w:r>
      <w:r>
        <w:rPr>
          <w:sz w:val="20"/>
        </w:rPr>
        <w:t>that</w:t>
      </w:r>
      <w:r>
        <w:rPr>
          <w:spacing w:val="-4"/>
          <w:sz w:val="20"/>
        </w:rPr>
        <w:t> </w:t>
      </w:r>
      <w:r>
        <w:rPr>
          <w:sz w:val="20"/>
        </w:rPr>
        <w:t>as</w:t>
      </w:r>
      <w:r>
        <w:rPr>
          <w:spacing w:val="-3"/>
          <w:sz w:val="20"/>
        </w:rPr>
        <w:t> </w:t>
      </w:r>
      <w:r>
        <w:rPr>
          <w:sz w:val="20"/>
        </w:rPr>
        <w:t>a</w:t>
      </w:r>
      <w:r>
        <w:rPr>
          <w:spacing w:val="-4"/>
          <w:sz w:val="20"/>
        </w:rPr>
        <w:t> </w:t>
      </w:r>
      <w:r>
        <w:rPr>
          <w:sz w:val="20"/>
        </w:rPr>
        <w:t>Gujarat</w:t>
      </w:r>
      <w:r>
        <w:rPr>
          <w:spacing w:val="-4"/>
          <w:sz w:val="20"/>
        </w:rPr>
        <w:t> </w:t>
      </w:r>
      <w:r>
        <w:rPr>
          <w:sz w:val="20"/>
        </w:rPr>
        <w:t>Government</w:t>
      </w:r>
      <w:r>
        <w:rPr>
          <w:spacing w:val="-5"/>
          <w:sz w:val="20"/>
        </w:rPr>
        <w:t> </w:t>
      </w:r>
      <w:r>
        <w:rPr>
          <w:sz w:val="20"/>
        </w:rPr>
        <w:t>controlled</w:t>
      </w:r>
      <w:r>
        <w:rPr>
          <w:spacing w:val="-3"/>
          <w:sz w:val="20"/>
        </w:rPr>
        <w:t> </w:t>
      </w:r>
      <w:r>
        <w:rPr>
          <w:sz w:val="20"/>
        </w:rPr>
        <w:t>company,</w:t>
      </w:r>
      <w:r>
        <w:rPr>
          <w:spacing w:val="-6"/>
          <w:sz w:val="20"/>
        </w:rPr>
        <w:t> </w:t>
      </w:r>
      <w:r>
        <w:rPr>
          <w:sz w:val="20"/>
        </w:rPr>
        <w:t>the Gujarat Government appoints a new GSFC MD every two (2) years, typically in mid-November, and that a new GSFC MD was scheduled to be appointed in mid-November</w:t>
      </w:r>
      <w:r>
        <w:rPr>
          <w:spacing w:val="-16"/>
          <w:sz w:val="20"/>
        </w:rPr>
        <w:t> </w:t>
      </w:r>
      <w:r>
        <w:rPr>
          <w:sz w:val="20"/>
        </w:rPr>
        <w:t>2020.</w:t>
      </w:r>
    </w:p>
    <w:p>
      <w:pPr>
        <w:pStyle w:val="BodyText"/>
        <w:spacing w:before="9"/>
        <w:rPr>
          <w:sz w:val="30"/>
        </w:rPr>
      </w:pPr>
    </w:p>
    <w:p>
      <w:pPr>
        <w:pStyle w:val="ListParagraph"/>
        <w:numPr>
          <w:ilvl w:val="0"/>
          <w:numId w:val="1"/>
        </w:numPr>
        <w:tabs>
          <w:tab w:pos="839" w:val="left" w:leader="none"/>
        </w:tabs>
        <w:spacing w:line="360" w:lineRule="auto" w:before="0" w:after="0"/>
        <w:ind w:left="838" w:right="1198" w:hanging="721"/>
        <w:jc w:val="both"/>
        <w:rPr>
          <w:sz w:val="20"/>
        </w:rPr>
      </w:pPr>
      <w:r>
        <w:rPr>
          <w:sz w:val="20"/>
        </w:rPr>
        <w:t>I verily believe that the only purpose for which the Special Meeting was delayed until December 15, 2020, was to ensure that a new GSFC MD was appointed prior to the Special Meeting being held.</w:t>
      </w:r>
      <w:r>
        <w:rPr>
          <w:spacing w:val="38"/>
          <w:sz w:val="20"/>
        </w:rPr>
        <w:t> </w:t>
      </w:r>
      <w:r>
        <w:rPr>
          <w:sz w:val="20"/>
        </w:rPr>
        <w:t>I</w:t>
      </w:r>
      <w:r>
        <w:rPr>
          <w:spacing w:val="-8"/>
          <w:sz w:val="20"/>
        </w:rPr>
        <w:t> </w:t>
      </w:r>
      <w:r>
        <w:rPr>
          <w:sz w:val="20"/>
        </w:rPr>
        <w:t>verily</w:t>
      </w:r>
      <w:r>
        <w:rPr>
          <w:spacing w:val="-8"/>
          <w:sz w:val="20"/>
        </w:rPr>
        <w:t> </w:t>
      </w:r>
      <w:r>
        <w:rPr>
          <w:sz w:val="20"/>
        </w:rPr>
        <w:t>believe</w:t>
      </w:r>
      <w:r>
        <w:rPr>
          <w:spacing w:val="-9"/>
          <w:sz w:val="20"/>
        </w:rPr>
        <w:t> </w:t>
      </w:r>
      <w:r>
        <w:rPr>
          <w:sz w:val="20"/>
        </w:rPr>
        <w:t>that</w:t>
      </w:r>
      <w:r>
        <w:rPr>
          <w:spacing w:val="-10"/>
          <w:sz w:val="20"/>
        </w:rPr>
        <w:t> </w:t>
      </w:r>
      <w:r>
        <w:rPr>
          <w:sz w:val="20"/>
        </w:rPr>
        <w:t>would</w:t>
      </w:r>
      <w:r>
        <w:rPr>
          <w:spacing w:val="-8"/>
          <w:sz w:val="20"/>
        </w:rPr>
        <w:t> </w:t>
      </w:r>
      <w:r>
        <w:rPr>
          <w:sz w:val="20"/>
        </w:rPr>
        <w:t>give</w:t>
      </w:r>
      <w:r>
        <w:rPr>
          <w:spacing w:val="-9"/>
          <w:sz w:val="20"/>
        </w:rPr>
        <w:t> </w:t>
      </w:r>
      <w:r>
        <w:rPr>
          <w:sz w:val="20"/>
        </w:rPr>
        <w:t>Varma</w:t>
      </w:r>
      <w:r>
        <w:rPr>
          <w:spacing w:val="-9"/>
          <w:sz w:val="20"/>
        </w:rPr>
        <w:t> </w:t>
      </w:r>
      <w:r>
        <w:rPr>
          <w:sz w:val="20"/>
        </w:rPr>
        <w:t>and</w:t>
      </w:r>
      <w:r>
        <w:rPr>
          <w:spacing w:val="-9"/>
          <w:sz w:val="20"/>
        </w:rPr>
        <w:t> </w:t>
      </w:r>
      <w:r>
        <w:rPr>
          <w:sz w:val="20"/>
        </w:rPr>
        <w:t>Favreau</w:t>
      </w:r>
      <w:r>
        <w:rPr>
          <w:spacing w:val="-9"/>
          <w:sz w:val="20"/>
        </w:rPr>
        <w:t> </w:t>
      </w:r>
      <w:r>
        <w:rPr>
          <w:sz w:val="20"/>
        </w:rPr>
        <w:t>one</w:t>
      </w:r>
      <w:r>
        <w:rPr>
          <w:spacing w:val="-8"/>
          <w:sz w:val="20"/>
        </w:rPr>
        <w:t> </w:t>
      </w:r>
      <w:r>
        <w:rPr>
          <w:sz w:val="20"/>
        </w:rPr>
        <w:t>(1)</w:t>
      </w:r>
      <w:r>
        <w:rPr>
          <w:spacing w:val="-9"/>
          <w:sz w:val="20"/>
        </w:rPr>
        <w:t> </w:t>
      </w:r>
      <w:r>
        <w:rPr>
          <w:sz w:val="20"/>
        </w:rPr>
        <w:t>month</w:t>
      </w:r>
      <w:r>
        <w:rPr>
          <w:spacing w:val="-9"/>
          <w:sz w:val="20"/>
        </w:rPr>
        <w:t> </w:t>
      </w:r>
      <w:r>
        <w:rPr>
          <w:sz w:val="20"/>
        </w:rPr>
        <w:t>to</w:t>
      </w:r>
      <w:r>
        <w:rPr>
          <w:spacing w:val="-9"/>
          <w:sz w:val="20"/>
        </w:rPr>
        <w:t> </w:t>
      </w:r>
      <w:r>
        <w:rPr>
          <w:sz w:val="20"/>
        </w:rPr>
        <w:t>convince</w:t>
      </w:r>
      <w:r>
        <w:rPr>
          <w:spacing w:val="-8"/>
          <w:sz w:val="20"/>
        </w:rPr>
        <w:t> </w:t>
      </w:r>
      <w:r>
        <w:rPr>
          <w:sz w:val="20"/>
        </w:rPr>
        <w:t>the</w:t>
      </w:r>
      <w:r>
        <w:rPr>
          <w:spacing w:val="-9"/>
          <w:sz w:val="20"/>
        </w:rPr>
        <w:t> </w:t>
      </w:r>
      <w:r>
        <w:rPr>
          <w:sz w:val="20"/>
        </w:rPr>
        <w:t>new</w:t>
      </w:r>
      <w:r>
        <w:rPr>
          <w:spacing w:val="-9"/>
          <w:sz w:val="20"/>
        </w:rPr>
        <w:t> </w:t>
      </w:r>
      <w:r>
        <w:rPr>
          <w:sz w:val="20"/>
        </w:rPr>
        <w:t>GSFC MD to bring Varma back onto the KRN Board, and to ensure that the new GSFC MD voted the shares of GSFC at the Special Meeting to ensure GSFC maintained control of the KRN</w:t>
      </w:r>
      <w:r>
        <w:rPr>
          <w:spacing w:val="-28"/>
          <w:sz w:val="20"/>
        </w:rPr>
        <w:t> </w:t>
      </w:r>
      <w:r>
        <w:rPr>
          <w:sz w:val="20"/>
        </w:rPr>
        <w:t>Board.</w:t>
      </w:r>
    </w:p>
    <w:p>
      <w:pPr>
        <w:pStyle w:val="BodyText"/>
        <w:spacing w:before="10"/>
      </w:pPr>
    </w:p>
    <w:p>
      <w:pPr>
        <w:pStyle w:val="ListParagraph"/>
        <w:numPr>
          <w:ilvl w:val="0"/>
          <w:numId w:val="1"/>
        </w:numPr>
        <w:tabs>
          <w:tab w:pos="839" w:val="left" w:leader="none"/>
        </w:tabs>
        <w:spacing w:line="360" w:lineRule="auto" w:before="0" w:after="0"/>
        <w:ind w:left="838" w:right="1199" w:hanging="721"/>
        <w:jc w:val="both"/>
        <w:rPr>
          <w:sz w:val="20"/>
        </w:rPr>
      </w:pPr>
      <w:r>
        <w:rPr>
          <w:sz w:val="20"/>
        </w:rPr>
        <w:t>I verily believe that the 5½ month delay in holding the Special Meeting, in order to allow a new GSFC MD to be appointed prior to the Special Meeting,</w:t>
      </w:r>
      <w:r>
        <w:rPr>
          <w:spacing w:val="-11"/>
          <w:sz w:val="20"/>
        </w:rPr>
        <w:t> </w:t>
      </w:r>
      <w:r>
        <w:rPr>
          <w:sz w:val="20"/>
        </w:rPr>
        <w:t>was:</w:t>
      </w:r>
    </w:p>
    <w:p>
      <w:pPr>
        <w:pStyle w:val="BodyText"/>
        <w:rPr>
          <w:sz w:val="21"/>
        </w:rPr>
      </w:pPr>
    </w:p>
    <w:p>
      <w:pPr>
        <w:pStyle w:val="ListParagraph"/>
        <w:numPr>
          <w:ilvl w:val="1"/>
          <w:numId w:val="1"/>
        </w:numPr>
        <w:tabs>
          <w:tab w:pos="1558" w:val="left" w:leader="none"/>
          <w:tab w:pos="1559" w:val="left" w:leader="none"/>
        </w:tabs>
        <w:spacing w:line="350" w:lineRule="auto" w:before="0" w:after="0"/>
        <w:ind w:left="1558" w:right="1197" w:hanging="721"/>
        <w:jc w:val="left"/>
        <w:rPr>
          <w:sz w:val="20"/>
        </w:rPr>
      </w:pPr>
      <w:r>
        <w:rPr>
          <w:sz w:val="20"/>
        </w:rPr>
        <w:t>motivated by an improper purpose and constituted improper conduct by the KRN Board and Favreau;</w:t>
      </w:r>
      <w:r>
        <w:rPr>
          <w:spacing w:val="-5"/>
          <w:sz w:val="20"/>
        </w:rPr>
        <w:t> </w:t>
      </w:r>
      <w:r>
        <w:rPr>
          <w:sz w:val="20"/>
        </w:rPr>
        <w:t>and</w:t>
      </w:r>
    </w:p>
    <w:p>
      <w:pPr>
        <w:spacing w:after="0" w:line="350" w:lineRule="auto"/>
        <w:jc w:val="left"/>
        <w:rPr>
          <w:sz w:val="20"/>
        </w:rPr>
        <w:sectPr>
          <w:pgSz w:w="12240" w:h="15840"/>
          <w:pgMar w:header="0" w:footer="971" w:top="1220" w:bottom="1160" w:left="1320" w:right="240"/>
        </w:sectPr>
      </w:pPr>
    </w:p>
    <w:p>
      <w:pPr>
        <w:pStyle w:val="ListParagraph"/>
        <w:numPr>
          <w:ilvl w:val="1"/>
          <w:numId w:val="1"/>
        </w:numPr>
        <w:tabs>
          <w:tab w:pos="1559" w:val="left" w:leader="none"/>
          <w:tab w:pos="1561" w:val="left" w:leader="none"/>
        </w:tabs>
        <w:spacing w:line="240" w:lineRule="auto" w:before="76" w:after="0"/>
        <w:ind w:left="1560" w:right="0" w:hanging="721"/>
        <w:jc w:val="left"/>
        <w:rPr>
          <w:sz w:val="20"/>
        </w:rPr>
      </w:pPr>
      <w:r>
        <w:rPr>
          <w:sz w:val="20"/>
        </w:rPr>
        <w:t>designed to continue the entrenchment of the KRN Board and</w:t>
      </w:r>
      <w:r>
        <w:rPr>
          <w:spacing w:val="-12"/>
          <w:sz w:val="20"/>
        </w:rPr>
        <w:t> </w:t>
      </w:r>
      <w:r>
        <w:rPr>
          <w:sz w:val="20"/>
        </w:rPr>
        <w:t>management.</w:t>
      </w:r>
    </w:p>
    <w:p>
      <w:pPr>
        <w:pStyle w:val="BodyText"/>
        <w:spacing w:before="8"/>
        <w:rPr>
          <w:sz w:val="30"/>
        </w:rPr>
      </w:pPr>
    </w:p>
    <w:p>
      <w:pPr>
        <w:pStyle w:val="Heading1"/>
        <w:ind w:left="119" w:firstLine="0"/>
        <w:rPr>
          <w:u w:val="none"/>
        </w:rPr>
      </w:pPr>
      <w:r>
        <w:rPr>
          <w:u w:val="none"/>
        </w:rPr>
        <w:t>KRN Proxy Circular for Special Meeting</w:t>
      </w:r>
    </w:p>
    <w:p>
      <w:pPr>
        <w:pStyle w:val="BodyText"/>
        <w:spacing w:before="9"/>
        <w:rPr>
          <w:b/>
          <w:sz w:val="30"/>
        </w:rPr>
      </w:pPr>
    </w:p>
    <w:p>
      <w:pPr>
        <w:pStyle w:val="ListParagraph"/>
        <w:numPr>
          <w:ilvl w:val="0"/>
          <w:numId w:val="8"/>
        </w:numPr>
        <w:tabs>
          <w:tab w:pos="839" w:val="left" w:leader="none"/>
          <w:tab w:pos="841" w:val="left" w:leader="none"/>
        </w:tabs>
        <w:spacing w:line="240" w:lineRule="auto" w:before="1" w:after="0"/>
        <w:ind w:left="840" w:right="0" w:hanging="721"/>
        <w:jc w:val="left"/>
        <w:rPr>
          <w:b/>
          <w:sz w:val="20"/>
        </w:rPr>
      </w:pPr>
      <w:r>
        <w:rPr>
          <w:b/>
          <w:sz w:val="20"/>
          <w:u w:val="thick"/>
        </w:rPr>
        <w:t>Recommendations of KRN</w:t>
      </w:r>
      <w:r>
        <w:rPr>
          <w:b/>
          <w:spacing w:val="-2"/>
          <w:sz w:val="20"/>
          <w:u w:val="thick"/>
        </w:rPr>
        <w:t> </w:t>
      </w:r>
      <w:r>
        <w:rPr>
          <w:b/>
          <w:sz w:val="20"/>
          <w:u w:val="thick"/>
        </w:rPr>
        <w:t>Board</w:t>
      </w:r>
    </w:p>
    <w:p>
      <w:pPr>
        <w:pStyle w:val="BodyText"/>
        <w:spacing w:before="8"/>
        <w:rPr>
          <w:b/>
          <w:sz w:val="22"/>
        </w:rPr>
      </w:pPr>
    </w:p>
    <w:p>
      <w:pPr>
        <w:pStyle w:val="ListParagraph"/>
        <w:numPr>
          <w:ilvl w:val="0"/>
          <w:numId w:val="1"/>
        </w:numPr>
        <w:tabs>
          <w:tab w:pos="841" w:val="left" w:leader="none"/>
        </w:tabs>
        <w:spacing w:line="360" w:lineRule="auto" w:before="94" w:after="0"/>
        <w:ind w:left="840" w:right="1197" w:hanging="721"/>
        <w:jc w:val="both"/>
        <w:rPr>
          <w:sz w:val="20"/>
        </w:rPr>
      </w:pPr>
      <w:r>
        <w:rPr>
          <w:sz w:val="20"/>
        </w:rPr>
        <w:t>In</w:t>
      </w:r>
      <w:r>
        <w:rPr>
          <w:spacing w:val="-9"/>
          <w:sz w:val="20"/>
        </w:rPr>
        <w:t> </w:t>
      </w:r>
      <w:r>
        <w:rPr>
          <w:sz w:val="20"/>
        </w:rPr>
        <w:t>the</w:t>
      </w:r>
      <w:r>
        <w:rPr>
          <w:spacing w:val="-9"/>
          <w:sz w:val="20"/>
        </w:rPr>
        <w:t> </w:t>
      </w:r>
      <w:r>
        <w:rPr>
          <w:sz w:val="20"/>
        </w:rPr>
        <w:t>KRN</w:t>
      </w:r>
      <w:r>
        <w:rPr>
          <w:spacing w:val="-8"/>
          <w:sz w:val="20"/>
        </w:rPr>
        <w:t> </w:t>
      </w:r>
      <w:r>
        <w:rPr>
          <w:sz w:val="20"/>
        </w:rPr>
        <w:t>Circular</w:t>
      </w:r>
      <w:r>
        <w:rPr>
          <w:spacing w:val="-8"/>
          <w:sz w:val="20"/>
        </w:rPr>
        <w:t> </w:t>
      </w:r>
      <w:r>
        <w:rPr>
          <w:sz w:val="20"/>
        </w:rPr>
        <w:t>for</w:t>
      </w:r>
      <w:r>
        <w:rPr>
          <w:spacing w:val="-7"/>
          <w:sz w:val="20"/>
        </w:rPr>
        <w:t> </w:t>
      </w:r>
      <w:r>
        <w:rPr>
          <w:sz w:val="20"/>
        </w:rPr>
        <w:t>the</w:t>
      </w:r>
      <w:r>
        <w:rPr>
          <w:spacing w:val="-10"/>
          <w:sz w:val="20"/>
        </w:rPr>
        <w:t> </w:t>
      </w:r>
      <w:r>
        <w:rPr>
          <w:sz w:val="20"/>
        </w:rPr>
        <w:t>Special</w:t>
      </w:r>
      <w:r>
        <w:rPr>
          <w:spacing w:val="-9"/>
          <w:sz w:val="20"/>
        </w:rPr>
        <w:t> </w:t>
      </w:r>
      <w:r>
        <w:rPr>
          <w:sz w:val="20"/>
        </w:rPr>
        <w:t>Meeting,</w:t>
      </w:r>
      <w:r>
        <w:rPr>
          <w:spacing w:val="-8"/>
          <w:sz w:val="20"/>
        </w:rPr>
        <w:t> </w:t>
      </w:r>
      <w:r>
        <w:rPr>
          <w:sz w:val="20"/>
        </w:rPr>
        <w:t>the</w:t>
      </w:r>
      <w:r>
        <w:rPr>
          <w:spacing w:val="-9"/>
          <w:sz w:val="20"/>
        </w:rPr>
        <w:t> </w:t>
      </w:r>
      <w:r>
        <w:rPr>
          <w:sz w:val="20"/>
        </w:rPr>
        <w:t>KRN</w:t>
      </w:r>
      <w:r>
        <w:rPr>
          <w:spacing w:val="-9"/>
          <w:sz w:val="20"/>
        </w:rPr>
        <w:t> </w:t>
      </w:r>
      <w:r>
        <w:rPr>
          <w:sz w:val="20"/>
        </w:rPr>
        <w:t>Board</w:t>
      </w:r>
      <w:r>
        <w:rPr>
          <w:spacing w:val="-10"/>
          <w:sz w:val="20"/>
        </w:rPr>
        <w:t> </w:t>
      </w:r>
      <w:r>
        <w:rPr>
          <w:sz w:val="20"/>
        </w:rPr>
        <w:t>recommended</w:t>
      </w:r>
      <w:r>
        <w:rPr>
          <w:spacing w:val="-8"/>
          <w:sz w:val="20"/>
        </w:rPr>
        <w:t> </w:t>
      </w:r>
      <w:r>
        <w:rPr>
          <w:sz w:val="20"/>
        </w:rPr>
        <w:t>that</w:t>
      </w:r>
      <w:r>
        <w:rPr>
          <w:spacing w:val="-9"/>
          <w:sz w:val="20"/>
        </w:rPr>
        <w:t> </w:t>
      </w:r>
      <w:r>
        <w:rPr>
          <w:sz w:val="20"/>
        </w:rPr>
        <w:t>KRN</w:t>
      </w:r>
      <w:r>
        <w:rPr>
          <w:spacing w:val="-8"/>
          <w:sz w:val="20"/>
        </w:rPr>
        <w:t> </w:t>
      </w:r>
      <w:r>
        <w:rPr>
          <w:sz w:val="20"/>
        </w:rPr>
        <w:t>Shareholders vote against the reconstitution of the KRN Board with six (6) directors, which would maintain the status quo of GSFC control of the KRN</w:t>
      </w:r>
      <w:r>
        <w:rPr>
          <w:spacing w:val="-7"/>
          <w:sz w:val="20"/>
        </w:rPr>
        <w:t> </w:t>
      </w:r>
      <w:r>
        <w:rPr>
          <w:sz w:val="20"/>
        </w:rPr>
        <w:t>Board.</w:t>
      </w:r>
    </w:p>
    <w:p>
      <w:pPr>
        <w:pStyle w:val="BodyText"/>
        <w:spacing w:before="10"/>
      </w:pPr>
    </w:p>
    <w:p>
      <w:pPr>
        <w:pStyle w:val="ListParagraph"/>
        <w:numPr>
          <w:ilvl w:val="0"/>
          <w:numId w:val="1"/>
        </w:numPr>
        <w:tabs>
          <w:tab w:pos="840" w:val="left" w:leader="none"/>
          <w:tab w:pos="841" w:val="left" w:leader="none"/>
        </w:tabs>
        <w:spacing w:line="240" w:lineRule="auto" w:before="0" w:after="0"/>
        <w:ind w:left="840" w:right="0" w:hanging="721"/>
        <w:jc w:val="left"/>
        <w:rPr>
          <w:sz w:val="20"/>
        </w:rPr>
      </w:pPr>
      <w:r>
        <w:rPr>
          <w:sz w:val="20"/>
        </w:rPr>
        <w:t>I</w:t>
      </w:r>
      <w:r>
        <w:rPr>
          <w:spacing w:val="-6"/>
          <w:sz w:val="20"/>
        </w:rPr>
        <w:t> </w:t>
      </w:r>
      <w:r>
        <w:rPr>
          <w:sz w:val="20"/>
        </w:rPr>
        <w:t>verily</w:t>
      </w:r>
      <w:r>
        <w:rPr>
          <w:spacing w:val="-5"/>
          <w:sz w:val="20"/>
        </w:rPr>
        <w:t> </w:t>
      </w:r>
      <w:r>
        <w:rPr>
          <w:sz w:val="20"/>
        </w:rPr>
        <w:t>believe</w:t>
      </w:r>
      <w:r>
        <w:rPr>
          <w:spacing w:val="-5"/>
          <w:sz w:val="20"/>
        </w:rPr>
        <w:t> </w:t>
      </w:r>
      <w:r>
        <w:rPr>
          <w:sz w:val="20"/>
        </w:rPr>
        <w:t>that</w:t>
      </w:r>
      <w:r>
        <w:rPr>
          <w:spacing w:val="-5"/>
          <w:sz w:val="20"/>
        </w:rPr>
        <w:t> </w:t>
      </w:r>
      <w:r>
        <w:rPr>
          <w:sz w:val="20"/>
        </w:rPr>
        <w:t>the</w:t>
      </w:r>
      <w:r>
        <w:rPr>
          <w:spacing w:val="-6"/>
          <w:sz w:val="20"/>
        </w:rPr>
        <w:t> </w:t>
      </w:r>
      <w:r>
        <w:rPr>
          <w:sz w:val="20"/>
        </w:rPr>
        <w:t>conduct</w:t>
      </w:r>
      <w:r>
        <w:rPr>
          <w:spacing w:val="-6"/>
          <w:sz w:val="20"/>
        </w:rPr>
        <w:t> </w:t>
      </w:r>
      <w:r>
        <w:rPr>
          <w:sz w:val="20"/>
        </w:rPr>
        <w:t>of</w:t>
      </w:r>
      <w:r>
        <w:rPr>
          <w:spacing w:val="-5"/>
          <w:sz w:val="20"/>
        </w:rPr>
        <w:t> </w:t>
      </w:r>
      <w:r>
        <w:rPr>
          <w:sz w:val="20"/>
        </w:rPr>
        <w:t>the</w:t>
      </w:r>
      <w:r>
        <w:rPr>
          <w:spacing w:val="-6"/>
          <w:sz w:val="20"/>
        </w:rPr>
        <w:t> </w:t>
      </w:r>
      <w:r>
        <w:rPr>
          <w:sz w:val="20"/>
        </w:rPr>
        <w:t>KRN</w:t>
      </w:r>
      <w:r>
        <w:rPr>
          <w:spacing w:val="-5"/>
          <w:sz w:val="20"/>
        </w:rPr>
        <w:t> </w:t>
      </w:r>
      <w:r>
        <w:rPr>
          <w:sz w:val="20"/>
        </w:rPr>
        <w:t>Board</w:t>
      </w:r>
      <w:r>
        <w:rPr>
          <w:spacing w:val="-5"/>
          <w:sz w:val="20"/>
        </w:rPr>
        <w:t> </w:t>
      </w:r>
      <w:r>
        <w:rPr>
          <w:sz w:val="20"/>
        </w:rPr>
        <w:t>and</w:t>
      </w:r>
      <w:r>
        <w:rPr>
          <w:spacing w:val="-5"/>
          <w:sz w:val="20"/>
        </w:rPr>
        <w:t> </w:t>
      </w:r>
      <w:r>
        <w:rPr>
          <w:sz w:val="20"/>
        </w:rPr>
        <w:t>Favreau</w:t>
      </w:r>
      <w:r>
        <w:rPr>
          <w:spacing w:val="-5"/>
          <w:sz w:val="20"/>
        </w:rPr>
        <w:t> </w:t>
      </w:r>
      <w:r>
        <w:rPr>
          <w:sz w:val="20"/>
        </w:rPr>
        <w:t>in</w:t>
      </w:r>
      <w:r>
        <w:rPr>
          <w:spacing w:val="-5"/>
          <w:sz w:val="20"/>
        </w:rPr>
        <w:t> </w:t>
      </w:r>
      <w:r>
        <w:rPr>
          <w:sz w:val="20"/>
        </w:rPr>
        <w:t>making</w:t>
      </w:r>
      <w:r>
        <w:rPr>
          <w:spacing w:val="-5"/>
          <w:sz w:val="20"/>
        </w:rPr>
        <w:t> </w:t>
      </w:r>
      <w:r>
        <w:rPr>
          <w:sz w:val="20"/>
        </w:rPr>
        <w:t>such</w:t>
      </w:r>
      <w:r>
        <w:rPr>
          <w:spacing w:val="-7"/>
          <w:sz w:val="20"/>
        </w:rPr>
        <w:t> </w:t>
      </w:r>
      <w:r>
        <w:rPr>
          <w:sz w:val="20"/>
        </w:rPr>
        <w:t>a</w:t>
      </w:r>
      <w:r>
        <w:rPr>
          <w:spacing w:val="-4"/>
          <w:sz w:val="20"/>
        </w:rPr>
        <w:t> </w:t>
      </w:r>
      <w:r>
        <w:rPr>
          <w:sz w:val="20"/>
        </w:rPr>
        <w:t>recommendation:</w:t>
      </w:r>
    </w:p>
    <w:p>
      <w:pPr>
        <w:pStyle w:val="BodyText"/>
        <w:rPr>
          <w:sz w:val="31"/>
        </w:rPr>
      </w:pPr>
    </w:p>
    <w:p>
      <w:pPr>
        <w:pStyle w:val="ListParagraph"/>
        <w:numPr>
          <w:ilvl w:val="1"/>
          <w:numId w:val="1"/>
        </w:numPr>
        <w:tabs>
          <w:tab w:pos="1559" w:val="left" w:leader="none"/>
          <w:tab w:pos="1561" w:val="left" w:leader="none"/>
        </w:tabs>
        <w:spacing w:line="350" w:lineRule="auto" w:before="0" w:after="0"/>
        <w:ind w:left="1560" w:right="1196" w:hanging="721"/>
        <w:jc w:val="left"/>
        <w:rPr>
          <w:sz w:val="20"/>
        </w:rPr>
      </w:pPr>
      <w:r>
        <w:rPr>
          <w:sz w:val="20"/>
        </w:rPr>
        <w:t>is clear evidence of the intention of GSFC and the GSFC Nominees to keep control of the KRN</w:t>
      </w:r>
      <w:r>
        <w:rPr>
          <w:spacing w:val="-1"/>
          <w:sz w:val="20"/>
        </w:rPr>
        <w:t> </w:t>
      </w:r>
      <w:r>
        <w:rPr>
          <w:sz w:val="20"/>
        </w:rPr>
        <w:t>Board;</w:t>
      </w:r>
    </w:p>
    <w:p>
      <w:pPr>
        <w:pStyle w:val="BodyText"/>
        <w:spacing w:before="8"/>
        <w:rPr>
          <w:sz w:val="21"/>
        </w:rPr>
      </w:pPr>
    </w:p>
    <w:p>
      <w:pPr>
        <w:pStyle w:val="ListParagraph"/>
        <w:numPr>
          <w:ilvl w:val="1"/>
          <w:numId w:val="1"/>
        </w:numPr>
        <w:tabs>
          <w:tab w:pos="1559" w:val="left" w:leader="none"/>
          <w:tab w:pos="1561" w:val="left" w:leader="none"/>
        </w:tabs>
        <w:spacing w:line="350" w:lineRule="auto" w:before="0" w:after="0"/>
        <w:ind w:left="1560" w:right="1196" w:hanging="721"/>
        <w:jc w:val="left"/>
        <w:rPr>
          <w:sz w:val="20"/>
        </w:rPr>
      </w:pPr>
      <w:r>
        <w:rPr>
          <w:sz w:val="20"/>
        </w:rPr>
        <w:t>is</w:t>
      </w:r>
      <w:r>
        <w:rPr>
          <w:spacing w:val="-7"/>
          <w:sz w:val="20"/>
        </w:rPr>
        <w:t> </w:t>
      </w:r>
      <w:r>
        <w:rPr>
          <w:sz w:val="20"/>
        </w:rPr>
        <w:t>specifically</w:t>
      </w:r>
      <w:r>
        <w:rPr>
          <w:spacing w:val="-7"/>
          <w:sz w:val="20"/>
        </w:rPr>
        <w:t> </w:t>
      </w:r>
      <w:r>
        <w:rPr>
          <w:sz w:val="20"/>
        </w:rPr>
        <w:t>designed</w:t>
      </w:r>
      <w:r>
        <w:rPr>
          <w:spacing w:val="-6"/>
          <w:sz w:val="20"/>
        </w:rPr>
        <w:t> </w:t>
      </w:r>
      <w:r>
        <w:rPr>
          <w:sz w:val="20"/>
        </w:rPr>
        <w:t>to</w:t>
      </w:r>
      <w:r>
        <w:rPr>
          <w:spacing w:val="-8"/>
          <w:sz w:val="20"/>
        </w:rPr>
        <w:t> </w:t>
      </w:r>
      <w:r>
        <w:rPr>
          <w:sz w:val="20"/>
        </w:rPr>
        <w:t>continue</w:t>
      </w:r>
      <w:r>
        <w:rPr>
          <w:spacing w:val="-6"/>
          <w:sz w:val="20"/>
        </w:rPr>
        <w:t> </w:t>
      </w:r>
      <w:r>
        <w:rPr>
          <w:sz w:val="20"/>
        </w:rPr>
        <w:t>the</w:t>
      </w:r>
      <w:r>
        <w:rPr>
          <w:spacing w:val="-7"/>
          <w:sz w:val="20"/>
        </w:rPr>
        <w:t> </w:t>
      </w:r>
      <w:r>
        <w:rPr>
          <w:sz w:val="20"/>
        </w:rPr>
        <w:t>entrenchment</w:t>
      </w:r>
      <w:r>
        <w:rPr>
          <w:spacing w:val="-7"/>
          <w:sz w:val="20"/>
        </w:rPr>
        <w:t> </w:t>
      </w:r>
      <w:r>
        <w:rPr>
          <w:sz w:val="20"/>
        </w:rPr>
        <w:t>of</w:t>
      </w:r>
      <w:r>
        <w:rPr>
          <w:spacing w:val="-8"/>
          <w:sz w:val="20"/>
        </w:rPr>
        <w:t> </w:t>
      </w:r>
      <w:r>
        <w:rPr>
          <w:sz w:val="20"/>
        </w:rPr>
        <w:t>the</w:t>
      </w:r>
      <w:r>
        <w:rPr>
          <w:spacing w:val="-6"/>
          <w:sz w:val="20"/>
        </w:rPr>
        <w:t> </w:t>
      </w:r>
      <w:r>
        <w:rPr>
          <w:sz w:val="20"/>
        </w:rPr>
        <w:t>KRN</w:t>
      </w:r>
      <w:r>
        <w:rPr>
          <w:spacing w:val="-7"/>
          <w:sz w:val="20"/>
        </w:rPr>
        <w:t> </w:t>
      </w:r>
      <w:r>
        <w:rPr>
          <w:sz w:val="20"/>
        </w:rPr>
        <w:t>Board</w:t>
      </w:r>
      <w:r>
        <w:rPr>
          <w:spacing w:val="-6"/>
          <w:sz w:val="20"/>
        </w:rPr>
        <w:t> </w:t>
      </w:r>
      <w:r>
        <w:rPr>
          <w:sz w:val="20"/>
        </w:rPr>
        <w:t>and</w:t>
      </w:r>
      <w:r>
        <w:rPr>
          <w:spacing w:val="-7"/>
          <w:sz w:val="20"/>
        </w:rPr>
        <w:t> </w:t>
      </w:r>
      <w:r>
        <w:rPr>
          <w:sz w:val="20"/>
        </w:rPr>
        <w:t>management; and</w:t>
      </w:r>
    </w:p>
    <w:p>
      <w:pPr>
        <w:pStyle w:val="BodyText"/>
        <w:spacing w:before="8"/>
        <w:rPr>
          <w:sz w:val="21"/>
        </w:rPr>
      </w:pPr>
    </w:p>
    <w:p>
      <w:pPr>
        <w:pStyle w:val="ListParagraph"/>
        <w:numPr>
          <w:ilvl w:val="1"/>
          <w:numId w:val="1"/>
        </w:numPr>
        <w:tabs>
          <w:tab w:pos="1560" w:val="left" w:leader="none"/>
          <w:tab w:pos="1561" w:val="left" w:leader="none"/>
        </w:tabs>
        <w:spacing w:line="350" w:lineRule="auto" w:before="1" w:after="0"/>
        <w:ind w:left="1560" w:right="1196" w:hanging="721"/>
        <w:jc w:val="left"/>
        <w:rPr>
          <w:sz w:val="20"/>
        </w:rPr>
      </w:pPr>
      <w:r>
        <w:rPr>
          <w:sz w:val="20"/>
        </w:rPr>
        <w:t>continues</w:t>
      </w:r>
      <w:r>
        <w:rPr>
          <w:spacing w:val="-11"/>
          <w:sz w:val="20"/>
        </w:rPr>
        <w:t> </w:t>
      </w:r>
      <w:r>
        <w:rPr>
          <w:sz w:val="20"/>
        </w:rPr>
        <w:t>and</w:t>
      </w:r>
      <w:r>
        <w:rPr>
          <w:spacing w:val="-11"/>
          <w:sz w:val="20"/>
        </w:rPr>
        <w:t> </w:t>
      </w:r>
      <w:r>
        <w:rPr>
          <w:sz w:val="20"/>
        </w:rPr>
        <w:t>perpetuates</w:t>
      </w:r>
      <w:r>
        <w:rPr>
          <w:spacing w:val="-11"/>
          <w:sz w:val="20"/>
        </w:rPr>
        <w:t> </w:t>
      </w:r>
      <w:r>
        <w:rPr>
          <w:sz w:val="20"/>
        </w:rPr>
        <w:t>the</w:t>
      </w:r>
      <w:r>
        <w:rPr>
          <w:spacing w:val="-11"/>
          <w:sz w:val="20"/>
        </w:rPr>
        <w:t> </w:t>
      </w:r>
      <w:r>
        <w:rPr>
          <w:sz w:val="20"/>
        </w:rPr>
        <w:t>very</w:t>
      </w:r>
      <w:r>
        <w:rPr>
          <w:spacing w:val="-10"/>
          <w:sz w:val="20"/>
        </w:rPr>
        <w:t> </w:t>
      </w:r>
      <w:r>
        <w:rPr>
          <w:sz w:val="20"/>
        </w:rPr>
        <w:t>activity</w:t>
      </w:r>
      <w:r>
        <w:rPr>
          <w:spacing w:val="-10"/>
          <w:sz w:val="20"/>
        </w:rPr>
        <w:t> </w:t>
      </w:r>
      <w:r>
        <w:rPr>
          <w:sz w:val="20"/>
        </w:rPr>
        <w:t>the</w:t>
      </w:r>
      <w:r>
        <w:rPr>
          <w:spacing w:val="-12"/>
          <w:sz w:val="20"/>
        </w:rPr>
        <w:t> </w:t>
      </w:r>
      <w:r>
        <w:rPr>
          <w:sz w:val="20"/>
        </w:rPr>
        <w:t>Concerned</w:t>
      </w:r>
      <w:r>
        <w:rPr>
          <w:spacing w:val="-11"/>
          <w:sz w:val="20"/>
        </w:rPr>
        <w:t> </w:t>
      </w:r>
      <w:r>
        <w:rPr>
          <w:sz w:val="20"/>
        </w:rPr>
        <w:t>Shareholders</w:t>
      </w:r>
      <w:r>
        <w:rPr>
          <w:spacing w:val="-10"/>
          <w:sz w:val="20"/>
        </w:rPr>
        <w:t> </w:t>
      </w:r>
      <w:r>
        <w:rPr>
          <w:sz w:val="20"/>
        </w:rPr>
        <w:t>feel</w:t>
      </w:r>
      <w:r>
        <w:rPr>
          <w:spacing w:val="-11"/>
          <w:sz w:val="20"/>
        </w:rPr>
        <w:t> </w:t>
      </w:r>
      <w:r>
        <w:rPr>
          <w:sz w:val="20"/>
        </w:rPr>
        <w:t>is</w:t>
      </w:r>
      <w:r>
        <w:rPr>
          <w:spacing w:val="-10"/>
          <w:sz w:val="20"/>
        </w:rPr>
        <w:t> </w:t>
      </w:r>
      <w:r>
        <w:rPr>
          <w:sz w:val="20"/>
        </w:rPr>
        <w:t>oppressive and unfairly prejudicial to all KRN Shareholders, and are trying to</w:t>
      </w:r>
      <w:r>
        <w:rPr>
          <w:spacing w:val="-15"/>
          <w:sz w:val="20"/>
        </w:rPr>
        <w:t> </w:t>
      </w:r>
      <w:r>
        <w:rPr>
          <w:sz w:val="20"/>
        </w:rPr>
        <w:t>stop.</w:t>
      </w:r>
    </w:p>
    <w:p>
      <w:pPr>
        <w:pStyle w:val="BodyText"/>
        <w:spacing w:before="6"/>
        <w:rPr>
          <w:sz w:val="21"/>
        </w:rPr>
      </w:pPr>
    </w:p>
    <w:p>
      <w:pPr>
        <w:pStyle w:val="Heading1"/>
        <w:numPr>
          <w:ilvl w:val="0"/>
          <w:numId w:val="8"/>
        </w:numPr>
        <w:tabs>
          <w:tab w:pos="839" w:val="left" w:leader="none"/>
          <w:tab w:pos="841" w:val="left" w:leader="none"/>
        </w:tabs>
        <w:spacing w:line="240" w:lineRule="auto" w:before="1" w:after="0"/>
        <w:ind w:left="840" w:right="0" w:hanging="721"/>
        <w:jc w:val="left"/>
        <w:rPr>
          <w:u w:val="none"/>
        </w:rPr>
      </w:pPr>
      <w:r>
        <w:rPr>
          <w:u w:val="thick"/>
        </w:rPr>
        <w:t>Misrepresentations in the KRN</w:t>
      </w:r>
      <w:r>
        <w:rPr>
          <w:spacing w:val="-4"/>
          <w:u w:val="thick"/>
        </w:rPr>
        <w:t> </w:t>
      </w:r>
      <w:r>
        <w:rPr>
          <w:u w:val="thick"/>
        </w:rPr>
        <w:t>Circular</w:t>
      </w:r>
    </w:p>
    <w:p>
      <w:pPr>
        <w:pStyle w:val="BodyText"/>
        <w:spacing w:before="8"/>
        <w:rPr>
          <w:b/>
          <w:sz w:val="22"/>
        </w:rPr>
      </w:pPr>
    </w:p>
    <w:p>
      <w:pPr>
        <w:pStyle w:val="ListParagraph"/>
        <w:numPr>
          <w:ilvl w:val="0"/>
          <w:numId w:val="1"/>
        </w:numPr>
        <w:tabs>
          <w:tab w:pos="841" w:val="left" w:leader="none"/>
        </w:tabs>
        <w:spacing w:line="360" w:lineRule="auto" w:before="94" w:after="0"/>
        <w:ind w:left="840" w:right="1196" w:hanging="721"/>
        <w:jc w:val="both"/>
        <w:rPr>
          <w:sz w:val="20"/>
        </w:rPr>
      </w:pPr>
      <w:r>
        <w:rPr>
          <w:sz w:val="20"/>
        </w:rPr>
        <w:t>The</w:t>
      </w:r>
      <w:r>
        <w:rPr>
          <w:spacing w:val="-10"/>
          <w:sz w:val="20"/>
        </w:rPr>
        <w:t> </w:t>
      </w:r>
      <w:r>
        <w:rPr>
          <w:sz w:val="20"/>
        </w:rPr>
        <w:t>Concerned</w:t>
      </w:r>
      <w:r>
        <w:rPr>
          <w:spacing w:val="-9"/>
          <w:sz w:val="20"/>
        </w:rPr>
        <w:t> </w:t>
      </w:r>
      <w:r>
        <w:rPr>
          <w:sz w:val="20"/>
        </w:rPr>
        <w:t>Shareholders</w:t>
      </w:r>
      <w:r>
        <w:rPr>
          <w:spacing w:val="-8"/>
          <w:sz w:val="20"/>
        </w:rPr>
        <w:t> </w:t>
      </w:r>
      <w:r>
        <w:rPr>
          <w:sz w:val="20"/>
        </w:rPr>
        <w:t>detailed</w:t>
      </w:r>
      <w:r>
        <w:rPr>
          <w:spacing w:val="-7"/>
          <w:sz w:val="20"/>
        </w:rPr>
        <w:t> </w:t>
      </w:r>
      <w:r>
        <w:rPr>
          <w:sz w:val="20"/>
        </w:rPr>
        <w:t>the</w:t>
      </w:r>
      <w:r>
        <w:rPr>
          <w:spacing w:val="-9"/>
          <w:sz w:val="20"/>
        </w:rPr>
        <w:t> </w:t>
      </w:r>
      <w:r>
        <w:rPr>
          <w:sz w:val="20"/>
        </w:rPr>
        <w:t>misrepresentations</w:t>
      </w:r>
      <w:r>
        <w:rPr>
          <w:spacing w:val="-8"/>
          <w:sz w:val="20"/>
        </w:rPr>
        <w:t> </w:t>
      </w:r>
      <w:r>
        <w:rPr>
          <w:sz w:val="20"/>
        </w:rPr>
        <w:t>contained</w:t>
      </w:r>
      <w:r>
        <w:rPr>
          <w:spacing w:val="-8"/>
          <w:sz w:val="20"/>
        </w:rPr>
        <w:t> </w:t>
      </w:r>
      <w:r>
        <w:rPr>
          <w:sz w:val="20"/>
        </w:rPr>
        <w:t>in</w:t>
      </w:r>
      <w:r>
        <w:rPr>
          <w:spacing w:val="-9"/>
          <w:sz w:val="20"/>
        </w:rPr>
        <w:t> </w:t>
      </w:r>
      <w:r>
        <w:rPr>
          <w:sz w:val="20"/>
        </w:rPr>
        <w:t>the</w:t>
      </w:r>
      <w:r>
        <w:rPr>
          <w:spacing w:val="-9"/>
          <w:sz w:val="20"/>
        </w:rPr>
        <w:t> </w:t>
      </w:r>
      <w:r>
        <w:rPr>
          <w:sz w:val="20"/>
        </w:rPr>
        <w:t>KRN</w:t>
      </w:r>
      <w:r>
        <w:rPr>
          <w:spacing w:val="-8"/>
          <w:sz w:val="20"/>
        </w:rPr>
        <w:t> </w:t>
      </w:r>
      <w:r>
        <w:rPr>
          <w:sz w:val="20"/>
        </w:rPr>
        <w:t>Circular</w:t>
      </w:r>
      <w:r>
        <w:rPr>
          <w:spacing w:val="-8"/>
          <w:sz w:val="20"/>
        </w:rPr>
        <w:t> </w:t>
      </w:r>
      <w:r>
        <w:rPr>
          <w:sz w:val="20"/>
        </w:rPr>
        <w:t>in</w:t>
      </w:r>
      <w:r>
        <w:rPr>
          <w:spacing w:val="-9"/>
          <w:sz w:val="20"/>
        </w:rPr>
        <w:t> </w:t>
      </w:r>
      <w:r>
        <w:rPr>
          <w:sz w:val="20"/>
        </w:rPr>
        <w:t>our press releases of November 26, 2020 and December 4, 2020. Attached and marked as </w:t>
      </w:r>
      <w:r>
        <w:rPr>
          <w:b/>
          <w:sz w:val="20"/>
        </w:rPr>
        <w:t>Exhibit “SS”</w:t>
      </w:r>
      <w:r>
        <w:rPr>
          <w:b/>
          <w:spacing w:val="-14"/>
          <w:sz w:val="20"/>
        </w:rPr>
        <w:t> </w:t>
      </w:r>
      <w:r>
        <w:rPr>
          <w:sz w:val="20"/>
        </w:rPr>
        <w:t>to</w:t>
      </w:r>
      <w:r>
        <w:rPr>
          <w:spacing w:val="-14"/>
          <w:sz w:val="20"/>
        </w:rPr>
        <w:t> </w:t>
      </w:r>
      <w:r>
        <w:rPr>
          <w:sz w:val="20"/>
        </w:rPr>
        <w:t>the</w:t>
      </w:r>
      <w:r>
        <w:rPr>
          <w:spacing w:val="-14"/>
          <w:sz w:val="20"/>
        </w:rPr>
        <w:t> </w:t>
      </w:r>
      <w:r>
        <w:rPr>
          <w:sz w:val="20"/>
        </w:rPr>
        <w:t>FDW</w:t>
      </w:r>
      <w:r>
        <w:rPr>
          <w:spacing w:val="-14"/>
          <w:sz w:val="20"/>
        </w:rPr>
        <w:t> </w:t>
      </w:r>
      <w:r>
        <w:rPr>
          <w:sz w:val="20"/>
        </w:rPr>
        <w:t>Affidavit</w:t>
      </w:r>
      <w:r>
        <w:rPr>
          <w:spacing w:val="-15"/>
          <w:sz w:val="20"/>
        </w:rPr>
        <w:t> </w:t>
      </w:r>
      <w:r>
        <w:rPr>
          <w:sz w:val="20"/>
        </w:rPr>
        <w:t>is</w:t>
      </w:r>
      <w:r>
        <w:rPr>
          <w:spacing w:val="-13"/>
          <w:sz w:val="20"/>
        </w:rPr>
        <w:t> </w:t>
      </w:r>
      <w:r>
        <w:rPr>
          <w:sz w:val="20"/>
        </w:rPr>
        <w:t>a</w:t>
      </w:r>
      <w:r>
        <w:rPr>
          <w:spacing w:val="-15"/>
          <w:sz w:val="20"/>
        </w:rPr>
        <w:t> </w:t>
      </w:r>
      <w:r>
        <w:rPr>
          <w:sz w:val="20"/>
        </w:rPr>
        <w:t>copy</w:t>
      </w:r>
      <w:r>
        <w:rPr>
          <w:spacing w:val="-13"/>
          <w:sz w:val="20"/>
        </w:rPr>
        <w:t> </w:t>
      </w:r>
      <w:r>
        <w:rPr>
          <w:sz w:val="20"/>
        </w:rPr>
        <w:t>of</w:t>
      </w:r>
      <w:r>
        <w:rPr>
          <w:spacing w:val="-14"/>
          <w:sz w:val="20"/>
        </w:rPr>
        <w:t> </w:t>
      </w:r>
      <w:r>
        <w:rPr>
          <w:sz w:val="20"/>
        </w:rPr>
        <w:t>the</w:t>
      </w:r>
      <w:r>
        <w:rPr>
          <w:spacing w:val="-15"/>
          <w:sz w:val="20"/>
        </w:rPr>
        <w:t> </w:t>
      </w:r>
      <w:r>
        <w:rPr>
          <w:sz w:val="20"/>
        </w:rPr>
        <w:t>Concerned</w:t>
      </w:r>
      <w:r>
        <w:rPr>
          <w:spacing w:val="-15"/>
          <w:sz w:val="20"/>
        </w:rPr>
        <w:t> </w:t>
      </w:r>
      <w:r>
        <w:rPr>
          <w:sz w:val="20"/>
        </w:rPr>
        <w:t>Shareholders’</w:t>
      </w:r>
      <w:r>
        <w:rPr>
          <w:spacing w:val="-14"/>
          <w:sz w:val="20"/>
        </w:rPr>
        <w:t> </w:t>
      </w:r>
      <w:r>
        <w:rPr>
          <w:sz w:val="20"/>
        </w:rPr>
        <w:t>press</w:t>
      </w:r>
      <w:r>
        <w:rPr>
          <w:spacing w:val="-14"/>
          <w:sz w:val="20"/>
        </w:rPr>
        <w:t> </w:t>
      </w:r>
      <w:r>
        <w:rPr>
          <w:sz w:val="20"/>
        </w:rPr>
        <w:t>release</w:t>
      </w:r>
      <w:r>
        <w:rPr>
          <w:spacing w:val="-14"/>
          <w:sz w:val="20"/>
        </w:rPr>
        <w:t> </w:t>
      </w:r>
      <w:r>
        <w:rPr>
          <w:sz w:val="20"/>
        </w:rPr>
        <w:t>dated</w:t>
      </w:r>
      <w:r>
        <w:rPr>
          <w:spacing w:val="-14"/>
          <w:sz w:val="20"/>
        </w:rPr>
        <w:t> </w:t>
      </w:r>
      <w:r>
        <w:rPr>
          <w:sz w:val="20"/>
        </w:rPr>
        <w:t>November 26, 2020. Attached and marked as </w:t>
      </w:r>
      <w:r>
        <w:rPr>
          <w:b/>
          <w:sz w:val="20"/>
        </w:rPr>
        <w:t>Exhibit “TT” </w:t>
      </w:r>
      <w:r>
        <w:rPr>
          <w:sz w:val="20"/>
        </w:rPr>
        <w:t>to the FDW Affidavit is a copy of the Concerned Shareholders’ press release dated December 4,</w:t>
      </w:r>
      <w:r>
        <w:rPr>
          <w:spacing w:val="-6"/>
          <w:sz w:val="20"/>
        </w:rPr>
        <w:t> </w:t>
      </w:r>
      <w:r>
        <w:rPr>
          <w:sz w:val="20"/>
        </w:rPr>
        <w:t>2020.</w:t>
      </w:r>
    </w:p>
    <w:p>
      <w:pPr>
        <w:pStyle w:val="BodyText"/>
        <w:spacing w:before="10"/>
      </w:pPr>
    </w:p>
    <w:p>
      <w:pPr>
        <w:pStyle w:val="ListParagraph"/>
        <w:numPr>
          <w:ilvl w:val="0"/>
          <w:numId w:val="1"/>
        </w:numPr>
        <w:tabs>
          <w:tab w:pos="841" w:val="left" w:leader="none"/>
        </w:tabs>
        <w:spacing w:line="360" w:lineRule="auto" w:before="0" w:after="0"/>
        <w:ind w:left="840" w:right="1197" w:hanging="721"/>
        <w:jc w:val="both"/>
        <w:rPr>
          <w:sz w:val="20"/>
        </w:rPr>
      </w:pPr>
      <w:r>
        <w:rPr>
          <w:sz w:val="20"/>
        </w:rPr>
        <w:t>I verily believe that the misrepresentations in the KRN Circular were a desperate attempt by the GSFC Nominees to hold onto control of the KRN Board, and for Favreau to keep her</w:t>
      </w:r>
      <w:r>
        <w:rPr>
          <w:spacing w:val="-23"/>
          <w:sz w:val="20"/>
        </w:rPr>
        <w:t> </w:t>
      </w:r>
      <w:r>
        <w:rPr>
          <w:sz w:val="20"/>
        </w:rPr>
        <w:t>job.</w:t>
      </w:r>
    </w:p>
    <w:p>
      <w:pPr>
        <w:pStyle w:val="BodyText"/>
        <w:spacing w:before="10"/>
      </w:pPr>
    </w:p>
    <w:p>
      <w:pPr>
        <w:pStyle w:val="Heading1"/>
        <w:numPr>
          <w:ilvl w:val="0"/>
          <w:numId w:val="9"/>
        </w:numPr>
        <w:tabs>
          <w:tab w:pos="1559" w:val="left" w:leader="none"/>
          <w:tab w:pos="1561" w:val="left" w:leader="none"/>
        </w:tabs>
        <w:spacing w:line="240" w:lineRule="auto" w:before="0" w:after="0"/>
        <w:ind w:left="1560" w:right="0" w:hanging="721"/>
        <w:jc w:val="left"/>
        <w:rPr>
          <w:u w:val="none"/>
        </w:rPr>
      </w:pPr>
      <w:r>
        <w:rPr>
          <w:u w:val="thick"/>
        </w:rPr>
        <w:t>Favreau’s Falsified</w:t>
      </w:r>
      <w:r>
        <w:rPr>
          <w:spacing w:val="-3"/>
          <w:u w:val="thick"/>
        </w:rPr>
        <w:t> </w:t>
      </w:r>
      <w:r>
        <w:rPr>
          <w:u w:val="thick"/>
        </w:rPr>
        <w:t>Resume</w:t>
      </w:r>
    </w:p>
    <w:p>
      <w:pPr>
        <w:pStyle w:val="BodyText"/>
        <w:spacing w:before="7"/>
        <w:rPr>
          <w:b/>
          <w:sz w:val="15"/>
        </w:rPr>
      </w:pPr>
    </w:p>
    <w:p>
      <w:pPr>
        <w:pStyle w:val="ListParagraph"/>
        <w:numPr>
          <w:ilvl w:val="0"/>
          <w:numId w:val="1"/>
        </w:numPr>
        <w:tabs>
          <w:tab w:pos="841" w:val="left" w:leader="none"/>
        </w:tabs>
        <w:spacing w:line="360" w:lineRule="auto" w:before="94" w:after="0"/>
        <w:ind w:left="839" w:right="1197" w:hanging="720"/>
        <w:jc w:val="both"/>
        <w:rPr>
          <w:sz w:val="20"/>
        </w:rPr>
      </w:pPr>
      <w:r>
        <w:rPr>
          <w:sz w:val="20"/>
        </w:rPr>
        <w:t>As I stated in paragraphs 81 to 83 above, I verily believe that Favreau falsified her resume in the KRN Circular, as her profile on LinkedIn, and her filings on SEDI, do not match her statement in the KRN Circular, and I verily believe that such conduct constitutes a flagrant violation of the KRN Code.</w:t>
      </w:r>
    </w:p>
    <w:p>
      <w:pPr>
        <w:spacing w:after="0" w:line="360" w:lineRule="auto"/>
        <w:jc w:val="both"/>
        <w:rPr>
          <w:sz w:val="20"/>
        </w:rPr>
        <w:sectPr>
          <w:footerReference w:type="default" r:id="rId13"/>
          <w:pgSz w:w="12240" w:h="15840"/>
          <w:pgMar w:footer="987" w:header="0" w:top="1220" w:bottom="1180" w:left="1320" w:right="240"/>
          <w:pgNumType w:start="24"/>
        </w:sectPr>
      </w:pPr>
    </w:p>
    <w:p>
      <w:pPr>
        <w:pStyle w:val="ListParagraph"/>
        <w:numPr>
          <w:ilvl w:val="0"/>
          <w:numId w:val="9"/>
        </w:numPr>
        <w:tabs>
          <w:tab w:pos="1559" w:val="left" w:leader="none"/>
          <w:tab w:pos="1561" w:val="left" w:leader="none"/>
        </w:tabs>
        <w:spacing w:line="240" w:lineRule="auto" w:before="77" w:after="0"/>
        <w:ind w:left="1560" w:right="0" w:hanging="721"/>
        <w:jc w:val="left"/>
        <w:rPr>
          <w:b/>
          <w:color w:val="1C1C1C"/>
          <w:sz w:val="20"/>
        </w:rPr>
      </w:pPr>
      <w:r>
        <w:rPr>
          <w:b/>
          <w:color w:val="1C1C1C"/>
          <w:sz w:val="20"/>
          <w:u w:val="thick" w:color="1C1C1C"/>
        </w:rPr>
        <w:t>Scherman’s Falsified</w:t>
      </w:r>
      <w:r>
        <w:rPr>
          <w:b/>
          <w:color w:val="1C1C1C"/>
          <w:spacing w:val="-4"/>
          <w:sz w:val="20"/>
          <w:u w:val="thick" w:color="1C1C1C"/>
        </w:rPr>
        <w:t> </w:t>
      </w:r>
      <w:r>
        <w:rPr>
          <w:b/>
          <w:color w:val="1C1C1C"/>
          <w:sz w:val="20"/>
          <w:u w:val="thick" w:color="1C1C1C"/>
        </w:rPr>
        <w:t>Resume</w:t>
      </w:r>
    </w:p>
    <w:p>
      <w:pPr>
        <w:pStyle w:val="BodyText"/>
        <w:spacing w:before="6"/>
        <w:rPr>
          <w:b/>
          <w:sz w:val="15"/>
        </w:rPr>
      </w:pPr>
    </w:p>
    <w:p>
      <w:pPr>
        <w:pStyle w:val="ListParagraph"/>
        <w:numPr>
          <w:ilvl w:val="0"/>
          <w:numId w:val="1"/>
        </w:numPr>
        <w:tabs>
          <w:tab w:pos="841" w:val="left" w:leader="none"/>
        </w:tabs>
        <w:spacing w:line="360" w:lineRule="auto" w:before="94" w:after="0"/>
        <w:ind w:left="839" w:right="1196" w:hanging="720"/>
        <w:jc w:val="both"/>
        <w:rPr>
          <w:color w:val="1C1C1C"/>
          <w:sz w:val="20"/>
        </w:rPr>
      </w:pPr>
      <w:r>
        <w:rPr>
          <w:color w:val="1C1C1C"/>
          <w:sz w:val="20"/>
        </w:rPr>
        <w:t>I verily believe that in the KRN Circular, the KRN Board and Favreau are intentionally misrepresenting the experience of Scherman, a member of the KRN Board. The KRN Circular states that Scherman was a director of AREVA Resources Canada Inc.(“</w:t>
      </w:r>
      <w:r>
        <w:rPr>
          <w:b/>
          <w:color w:val="1C1C1C"/>
          <w:sz w:val="20"/>
        </w:rPr>
        <w:t>AREVA</w:t>
      </w:r>
      <w:r>
        <w:rPr>
          <w:color w:val="1C1C1C"/>
          <w:sz w:val="20"/>
        </w:rPr>
        <w:t>”). What the</w:t>
      </w:r>
      <w:r>
        <w:rPr>
          <w:color w:val="1C1C1C"/>
          <w:spacing w:val="-38"/>
          <w:sz w:val="20"/>
        </w:rPr>
        <w:t> </w:t>
      </w:r>
      <w:r>
        <w:rPr>
          <w:color w:val="1C1C1C"/>
          <w:sz w:val="20"/>
        </w:rPr>
        <w:t>KRN Circular</w:t>
      </w:r>
      <w:r>
        <w:rPr>
          <w:color w:val="1C1C1C"/>
          <w:spacing w:val="-7"/>
          <w:sz w:val="20"/>
        </w:rPr>
        <w:t> </w:t>
      </w:r>
      <w:r>
        <w:rPr>
          <w:color w:val="1C1C1C"/>
          <w:sz w:val="20"/>
        </w:rPr>
        <w:t>fails</w:t>
      </w:r>
      <w:r>
        <w:rPr>
          <w:color w:val="1C1C1C"/>
          <w:spacing w:val="-7"/>
          <w:sz w:val="20"/>
        </w:rPr>
        <w:t> </w:t>
      </w:r>
      <w:r>
        <w:rPr>
          <w:color w:val="1C1C1C"/>
          <w:sz w:val="20"/>
        </w:rPr>
        <w:t>to</w:t>
      </w:r>
      <w:r>
        <w:rPr>
          <w:color w:val="1C1C1C"/>
          <w:spacing w:val="-6"/>
          <w:sz w:val="20"/>
        </w:rPr>
        <w:t> </w:t>
      </w:r>
      <w:r>
        <w:rPr>
          <w:color w:val="1C1C1C"/>
          <w:sz w:val="20"/>
        </w:rPr>
        <w:t>disclose</w:t>
      </w:r>
      <w:r>
        <w:rPr>
          <w:color w:val="1C1C1C"/>
          <w:spacing w:val="-7"/>
          <w:sz w:val="20"/>
        </w:rPr>
        <w:t> </w:t>
      </w:r>
      <w:r>
        <w:rPr>
          <w:color w:val="1C1C1C"/>
          <w:sz w:val="20"/>
        </w:rPr>
        <w:t>is</w:t>
      </w:r>
      <w:r>
        <w:rPr>
          <w:color w:val="1C1C1C"/>
          <w:spacing w:val="-6"/>
          <w:sz w:val="20"/>
        </w:rPr>
        <w:t> </w:t>
      </w:r>
      <w:r>
        <w:rPr>
          <w:color w:val="1C1C1C"/>
          <w:sz w:val="20"/>
        </w:rPr>
        <w:t>that</w:t>
      </w:r>
      <w:r>
        <w:rPr>
          <w:color w:val="1C1C1C"/>
          <w:spacing w:val="-8"/>
          <w:sz w:val="20"/>
        </w:rPr>
        <w:t> </w:t>
      </w:r>
      <w:r>
        <w:rPr>
          <w:color w:val="1C1C1C"/>
          <w:sz w:val="20"/>
        </w:rPr>
        <w:t>AREVA</w:t>
      </w:r>
      <w:r>
        <w:rPr>
          <w:color w:val="1C1C1C"/>
          <w:spacing w:val="-7"/>
          <w:sz w:val="20"/>
        </w:rPr>
        <w:t> </w:t>
      </w:r>
      <w:r>
        <w:rPr>
          <w:color w:val="1C1C1C"/>
          <w:sz w:val="20"/>
        </w:rPr>
        <w:t>is</w:t>
      </w:r>
      <w:r>
        <w:rPr>
          <w:color w:val="1C1C1C"/>
          <w:spacing w:val="-7"/>
          <w:sz w:val="20"/>
        </w:rPr>
        <w:t> </w:t>
      </w:r>
      <w:r>
        <w:rPr>
          <w:color w:val="1C1C1C"/>
          <w:sz w:val="20"/>
        </w:rPr>
        <w:t>a</w:t>
      </w:r>
      <w:r>
        <w:rPr>
          <w:color w:val="1C1C1C"/>
          <w:spacing w:val="-6"/>
          <w:sz w:val="20"/>
        </w:rPr>
        <w:t> </w:t>
      </w:r>
      <w:r>
        <w:rPr>
          <w:color w:val="1C1C1C"/>
          <w:sz w:val="20"/>
        </w:rPr>
        <w:t>private</w:t>
      </w:r>
      <w:r>
        <w:rPr>
          <w:color w:val="1C1C1C"/>
          <w:spacing w:val="-9"/>
          <w:sz w:val="20"/>
        </w:rPr>
        <w:t> </w:t>
      </w:r>
      <w:r>
        <w:rPr>
          <w:color w:val="1C1C1C"/>
          <w:sz w:val="20"/>
        </w:rPr>
        <w:t>company,</w:t>
      </w:r>
      <w:r>
        <w:rPr>
          <w:color w:val="1C1C1C"/>
          <w:spacing w:val="-7"/>
          <w:sz w:val="20"/>
        </w:rPr>
        <w:t> </w:t>
      </w:r>
      <w:r>
        <w:rPr>
          <w:color w:val="1C1C1C"/>
          <w:sz w:val="20"/>
        </w:rPr>
        <w:t>not</w:t>
      </w:r>
      <w:r>
        <w:rPr>
          <w:color w:val="1C1C1C"/>
          <w:spacing w:val="-8"/>
          <w:sz w:val="20"/>
        </w:rPr>
        <w:t> </w:t>
      </w:r>
      <w:r>
        <w:rPr>
          <w:color w:val="1C1C1C"/>
          <w:sz w:val="20"/>
        </w:rPr>
        <w:t>a</w:t>
      </w:r>
      <w:r>
        <w:rPr>
          <w:color w:val="1C1C1C"/>
          <w:spacing w:val="-6"/>
          <w:sz w:val="20"/>
        </w:rPr>
        <w:t> </w:t>
      </w:r>
      <w:r>
        <w:rPr>
          <w:color w:val="1C1C1C"/>
          <w:sz w:val="20"/>
        </w:rPr>
        <w:t>publicly</w:t>
      </w:r>
      <w:r>
        <w:rPr>
          <w:color w:val="1C1C1C"/>
          <w:spacing w:val="-7"/>
          <w:sz w:val="20"/>
        </w:rPr>
        <w:t> </w:t>
      </w:r>
      <w:r>
        <w:rPr>
          <w:color w:val="1C1C1C"/>
          <w:sz w:val="20"/>
        </w:rPr>
        <w:t>listed</w:t>
      </w:r>
      <w:r>
        <w:rPr>
          <w:color w:val="1C1C1C"/>
          <w:spacing w:val="-8"/>
          <w:sz w:val="20"/>
        </w:rPr>
        <w:t> </w:t>
      </w:r>
      <w:r>
        <w:rPr>
          <w:color w:val="1C1C1C"/>
          <w:sz w:val="20"/>
        </w:rPr>
        <w:t>company.</w:t>
      </w:r>
      <w:r>
        <w:rPr>
          <w:color w:val="1C1C1C"/>
          <w:spacing w:val="41"/>
          <w:sz w:val="20"/>
        </w:rPr>
        <w:t> </w:t>
      </w:r>
      <w:r>
        <w:rPr>
          <w:color w:val="1C1C1C"/>
          <w:sz w:val="20"/>
        </w:rPr>
        <w:t>I</w:t>
      </w:r>
      <w:r>
        <w:rPr>
          <w:color w:val="1C1C1C"/>
          <w:spacing w:val="-7"/>
          <w:sz w:val="20"/>
        </w:rPr>
        <w:t> </w:t>
      </w:r>
      <w:r>
        <w:rPr>
          <w:color w:val="1C1C1C"/>
          <w:sz w:val="20"/>
        </w:rPr>
        <w:t>verily believe that neglecting to mention this fact constitutes a misrepresentation by omission and is intended to give the impression to the reader that Scherman has experience as a director of a publicly listed company, in order to inflate his purported qualifications to be a member of the KRN Board.</w:t>
      </w:r>
      <w:r>
        <w:rPr>
          <w:color w:val="1C1C1C"/>
          <w:spacing w:val="32"/>
          <w:sz w:val="20"/>
        </w:rPr>
        <w:t> </w:t>
      </w:r>
      <w:r>
        <w:rPr>
          <w:color w:val="1C1C1C"/>
          <w:sz w:val="20"/>
        </w:rPr>
        <w:t>I</w:t>
      </w:r>
      <w:r>
        <w:rPr>
          <w:color w:val="1C1C1C"/>
          <w:spacing w:val="-12"/>
          <w:sz w:val="20"/>
        </w:rPr>
        <w:t> </w:t>
      </w:r>
      <w:r>
        <w:rPr>
          <w:color w:val="1C1C1C"/>
          <w:sz w:val="20"/>
        </w:rPr>
        <w:t>verily</w:t>
      </w:r>
      <w:r>
        <w:rPr>
          <w:color w:val="1C1C1C"/>
          <w:spacing w:val="-11"/>
          <w:sz w:val="20"/>
        </w:rPr>
        <w:t> </w:t>
      </w:r>
      <w:r>
        <w:rPr>
          <w:color w:val="1C1C1C"/>
          <w:sz w:val="20"/>
        </w:rPr>
        <w:t>believe</w:t>
      </w:r>
      <w:r>
        <w:rPr>
          <w:color w:val="1C1C1C"/>
          <w:spacing w:val="-11"/>
          <w:sz w:val="20"/>
        </w:rPr>
        <w:t> </w:t>
      </w:r>
      <w:r>
        <w:rPr>
          <w:color w:val="1C1C1C"/>
          <w:sz w:val="20"/>
        </w:rPr>
        <w:t>that</w:t>
      </w:r>
      <w:r>
        <w:rPr>
          <w:color w:val="1C1C1C"/>
          <w:spacing w:val="-13"/>
          <w:sz w:val="20"/>
        </w:rPr>
        <w:t> </w:t>
      </w:r>
      <w:r>
        <w:rPr>
          <w:color w:val="1C1C1C"/>
          <w:sz w:val="20"/>
        </w:rPr>
        <w:t>Scherman</w:t>
      </w:r>
      <w:r>
        <w:rPr>
          <w:color w:val="1C1C1C"/>
          <w:spacing w:val="-11"/>
          <w:sz w:val="20"/>
        </w:rPr>
        <w:t> </w:t>
      </w:r>
      <w:r>
        <w:rPr>
          <w:color w:val="1C1C1C"/>
          <w:sz w:val="20"/>
        </w:rPr>
        <w:t>has</w:t>
      </w:r>
      <w:r>
        <w:rPr>
          <w:color w:val="1C1C1C"/>
          <w:spacing w:val="-11"/>
          <w:sz w:val="20"/>
        </w:rPr>
        <w:t> </w:t>
      </w:r>
      <w:r>
        <w:rPr>
          <w:color w:val="1C1C1C"/>
          <w:sz w:val="20"/>
        </w:rPr>
        <w:t>never</w:t>
      </w:r>
      <w:r>
        <w:rPr>
          <w:color w:val="1C1C1C"/>
          <w:spacing w:val="-12"/>
          <w:sz w:val="20"/>
        </w:rPr>
        <w:t> </w:t>
      </w:r>
      <w:r>
        <w:rPr>
          <w:color w:val="1C1C1C"/>
          <w:sz w:val="20"/>
        </w:rPr>
        <w:t>been</w:t>
      </w:r>
      <w:r>
        <w:rPr>
          <w:color w:val="1C1C1C"/>
          <w:spacing w:val="-12"/>
          <w:sz w:val="20"/>
        </w:rPr>
        <w:t> </w:t>
      </w:r>
      <w:r>
        <w:rPr>
          <w:color w:val="1C1C1C"/>
          <w:sz w:val="20"/>
        </w:rPr>
        <w:t>a</w:t>
      </w:r>
      <w:r>
        <w:rPr>
          <w:color w:val="1C1C1C"/>
          <w:spacing w:val="-11"/>
          <w:sz w:val="20"/>
        </w:rPr>
        <w:t> </w:t>
      </w:r>
      <w:r>
        <w:rPr>
          <w:color w:val="1C1C1C"/>
          <w:sz w:val="20"/>
        </w:rPr>
        <w:t>director</w:t>
      </w:r>
      <w:r>
        <w:rPr>
          <w:color w:val="1C1C1C"/>
          <w:spacing w:val="-11"/>
          <w:sz w:val="20"/>
        </w:rPr>
        <w:t> </w:t>
      </w:r>
      <w:r>
        <w:rPr>
          <w:color w:val="1C1C1C"/>
          <w:sz w:val="20"/>
        </w:rPr>
        <w:t>a</w:t>
      </w:r>
      <w:r>
        <w:rPr>
          <w:color w:val="1C1C1C"/>
          <w:spacing w:val="-13"/>
          <w:sz w:val="20"/>
        </w:rPr>
        <w:t> </w:t>
      </w:r>
      <w:r>
        <w:rPr>
          <w:color w:val="1C1C1C"/>
          <w:sz w:val="20"/>
        </w:rPr>
        <w:t>Canadian</w:t>
      </w:r>
      <w:r>
        <w:rPr>
          <w:color w:val="1C1C1C"/>
          <w:spacing w:val="-11"/>
          <w:sz w:val="20"/>
        </w:rPr>
        <w:t> </w:t>
      </w:r>
      <w:r>
        <w:rPr>
          <w:color w:val="1C1C1C"/>
          <w:sz w:val="20"/>
        </w:rPr>
        <w:t>public</w:t>
      </w:r>
      <w:r>
        <w:rPr>
          <w:color w:val="1C1C1C"/>
          <w:spacing w:val="-11"/>
          <w:sz w:val="20"/>
        </w:rPr>
        <w:t> </w:t>
      </w:r>
      <w:r>
        <w:rPr>
          <w:color w:val="1C1C1C"/>
          <w:sz w:val="20"/>
        </w:rPr>
        <w:t>company</w:t>
      </w:r>
      <w:r>
        <w:rPr>
          <w:color w:val="1C1C1C"/>
          <w:spacing w:val="-11"/>
          <w:sz w:val="20"/>
        </w:rPr>
        <w:t> </w:t>
      </w:r>
      <w:r>
        <w:rPr>
          <w:color w:val="1C1C1C"/>
          <w:sz w:val="20"/>
        </w:rPr>
        <w:t>before joining the KRN Board. </w:t>
      </w:r>
      <w:r>
        <w:rPr>
          <w:sz w:val="20"/>
        </w:rPr>
        <w:t>Attached and marked as </w:t>
      </w:r>
      <w:r>
        <w:rPr>
          <w:b/>
          <w:sz w:val="20"/>
        </w:rPr>
        <w:t>Exhibit “UU” </w:t>
      </w:r>
      <w:r>
        <w:rPr>
          <w:sz w:val="20"/>
        </w:rPr>
        <w:t>to the FDW Affidavit is a copy of Scherman’s filings on</w:t>
      </w:r>
      <w:r>
        <w:rPr>
          <w:spacing w:val="-2"/>
          <w:sz w:val="20"/>
        </w:rPr>
        <w:t> </w:t>
      </w:r>
      <w:r>
        <w:rPr>
          <w:sz w:val="20"/>
        </w:rPr>
        <w:t>SEDI.</w:t>
      </w:r>
    </w:p>
    <w:p>
      <w:pPr>
        <w:pStyle w:val="ListParagraph"/>
        <w:numPr>
          <w:ilvl w:val="0"/>
          <w:numId w:val="9"/>
        </w:numPr>
        <w:tabs>
          <w:tab w:pos="1561" w:val="left" w:leader="none"/>
        </w:tabs>
        <w:spacing w:line="240" w:lineRule="auto" w:before="160" w:after="0"/>
        <w:ind w:left="1560" w:right="0" w:hanging="721"/>
        <w:jc w:val="both"/>
        <w:rPr>
          <w:b/>
          <w:color w:val="1C1C1C"/>
          <w:sz w:val="20"/>
        </w:rPr>
      </w:pPr>
      <w:r>
        <w:rPr>
          <w:b/>
          <w:color w:val="1C1C1C"/>
          <w:sz w:val="20"/>
          <w:u w:val="thick" w:color="1C1C1C"/>
        </w:rPr>
        <w:t>Inflated Costs of Special</w:t>
      </w:r>
      <w:r>
        <w:rPr>
          <w:b/>
          <w:color w:val="1C1C1C"/>
          <w:spacing w:val="-5"/>
          <w:sz w:val="20"/>
          <w:u w:val="thick" w:color="1C1C1C"/>
        </w:rPr>
        <w:t> </w:t>
      </w:r>
      <w:r>
        <w:rPr>
          <w:b/>
          <w:color w:val="1C1C1C"/>
          <w:sz w:val="20"/>
          <w:u w:val="thick" w:color="1C1C1C"/>
        </w:rPr>
        <w:t>Meeting</w:t>
      </w:r>
    </w:p>
    <w:p>
      <w:pPr>
        <w:pStyle w:val="BodyText"/>
        <w:spacing w:before="7"/>
        <w:rPr>
          <w:b/>
          <w:sz w:val="15"/>
        </w:rPr>
      </w:pPr>
    </w:p>
    <w:p>
      <w:pPr>
        <w:pStyle w:val="ListParagraph"/>
        <w:numPr>
          <w:ilvl w:val="0"/>
          <w:numId w:val="1"/>
        </w:numPr>
        <w:tabs>
          <w:tab w:pos="841" w:val="left" w:leader="none"/>
        </w:tabs>
        <w:spacing w:line="360" w:lineRule="auto" w:before="94" w:after="0"/>
        <w:ind w:left="839" w:right="1196" w:hanging="720"/>
        <w:jc w:val="both"/>
        <w:rPr>
          <w:color w:val="1C1C1C"/>
          <w:sz w:val="20"/>
        </w:rPr>
      </w:pPr>
      <w:r>
        <w:rPr>
          <w:sz w:val="20"/>
        </w:rPr>
        <w:t>I verily believe that Favreau’s statements in the KRN Circular that the Special Meeting will cost a minimum of $350,000 is an intentional, and a gross, misrepresentation of the costs of holding a meeting of sharehodlers of a Canadian publicly listed company. Based on my experience in investing in many such companies, I verily belevie that the typical cost of shareholders meeting is approximately</w:t>
      </w:r>
      <w:r>
        <w:rPr>
          <w:spacing w:val="-1"/>
          <w:sz w:val="20"/>
        </w:rPr>
        <w:t> </w:t>
      </w:r>
      <w:r>
        <w:rPr>
          <w:sz w:val="20"/>
        </w:rPr>
        <w:t>$50,000.</w:t>
      </w:r>
    </w:p>
    <w:p>
      <w:pPr>
        <w:pStyle w:val="ListParagraph"/>
        <w:numPr>
          <w:ilvl w:val="0"/>
          <w:numId w:val="1"/>
        </w:numPr>
        <w:tabs>
          <w:tab w:pos="840" w:val="left" w:leader="none"/>
        </w:tabs>
        <w:spacing w:line="360" w:lineRule="auto" w:before="160" w:after="0"/>
        <w:ind w:left="839" w:right="1196" w:hanging="720"/>
        <w:jc w:val="both"/>
        <w:rPr>
          <w:color w:val="1C1C1C"/>
          <w:sz w:val="20"/>
        </w:rPr>
      </w:pPr>
      <w:r>
        <w:rPr>
          <w:color w:val="1C1C1C"/>
          <w:sz w:val="20"/>
        </w:rPr>
        <w:t>I verily believe that Favreau and the KRN Board are intentionally inflating the typical cost of the Special Meeting by more than seven (7) fold for the sole purpose of creating a false narrative and casting aspersions on the shareholders of KRN to make it look like we are responsible for KRN spending an exorbitant amount of money to hold the Special</w:t>
      </w:r>
      <w:r>
        <w:rPr>
          <w:color w:val="1C1C1C"/>
          <w:spacing w:val="-15"/>
          <w:sz w:val="20"/>
        </w:rPr>
        <w:t> </w:t>
      </w:r>
      <w:r>
        <w:rPr>
          <w:color w:val="1C1C1C"/>
          <w:sz w:val="20"/>
        </w:rPr>
        <w:t>Meeting.</w:t>
      </w:r>
    </w:p>
    <w:p>
      <w:pPr>
        <w:pStyle w:val="ListParagraph"/>
        <w:numPr>
          <w:ilvl w:val="0"/>
          <w:numId w:val="9"/>
        </w:numPr>
        <w:tabs>
          <w:tab w:pos="1561" w:val="left" w:leader="none"/>
        </w:tabs>
        <w:spacing w:line="240" w:lineRule="auto" w:before="158" w:after="0"/>
        <w:ind w:left="1560" w:right="0" w:hanging="721"/>
        <w:jc w:val="both"/>
        <w:rPr>
          <w:b/>
          <w:color w:val="1C1C1C"/>
          <w:sz w:val="20"/>
        </w:rPr>
      </w:pPr>
      <w:r>
        <w:rPr>
          <w:b/>
          <w:color w:val="1C1C1C"/>
          <w:sz w:val="20"/>
          <w:u w:val="thick" w:color="1C1C1C"/>
        </w:rPr>
        <w:t>Cash Resources of</w:t>
      </w:r>
      <w:r>
        <w:rPr>
          <w:b/>
          <w:color w:val="1C1C1C"/>
          <w:spacing w:val="-6"/>
          <w:sz w:val="20"/>
          <w:u w:val="thick" w:color="1C1C1C"/>
        </w:rPr>
        <w:t> </w:t>
      </w:r>
      <w:r>
        <w:rPr>
          <w:b/>
          <w:color w:val="1C1C1C"/>
          <w:sz w:val="20"/>
          <w:u w:val="thick" w:color="1C1C1C"/>
        </w:rPr>
        <w:t>KRN</w:t>
      </w:r>
    </w:p>
    <w:p>
      <w:pPr>
        <w:pStyle w:val="BodyText"/>
        <w:spacing w:before="7"/>
        <w:rPr>
          <w:b/>
          <w:sz w:val="15"/>
        </w:rPr>
      </w:pPr>
    </w:p>
    <w:p>
      <w:pPr>
        <w:pStyle w:val="ListParagraph"/>
        <w:numPr>
          <w:ilvl w:val="0"/>
          <w:numId w:val="1"/>
        </w:numPr>
        <w:tabs>
          <w:tab w:pos="841" w:val="left" w:leader="none"/>
        </w:tabs>
        <w:spacing w:line="360" w:lineRule="auto" w:before="94" w:after="0"/>
        <w:ind w:left="839" w:right="1196" w:hanging="720"/>
        <w:jc w:val="both"/>
        <w:rPr>
          <w:color w:val="1C1C1C"/>
          <w:sz w:val="20"/>
        </w:rPr>
      </w:pPr>
      <w:r>
        <w:rPr>
          <w:color w:val="1C1C1C"/>
          <w:sz w:val="20"/>
        </w:rPr>
        <w:t>I verily believe that Favreau and the KRN Board are lying, and are intentionally misrepresenting the facts, when they falsely state that the Concerned Shareholders left KRN with depleted cash resources when we resigned in January 2019, when the facts are that we increased the cash resources</w:t>
      </w:r>
      <w:r>
        <w:rPr>
          <w:color w:val="1C1C1C"/>
          <w:spacing w:val="-13"/>
          <w:sz w:val="20"/>
        </w:rPr>
        <w:t> </w:t>
      </w:r>
      <w:r>
        <w:rPr>
          <w:color w:val="1C1C1C"/>
          <w:sz w:val="20"/>
        </w:rPr>
        <w:t>of</w:t>
      </w:r>
      <w:r>
        <w:rPr>
          <w:color w:val="1C1C1C"/>
          <w:spacing w:val="-15"/>
          <w:sz w:val="20"/>
        </w:rPr>
        <w:t> </w:t>
      </w:r>
      <w:r>
        <w:rPr>
          <w:color w:val="1C1C1C"/>
          <w:sz w:val="20"/>
        </w:rPr>
        <w:t>KRN</w:t>
      </w:r>
      <w:r>
        <w:rPr>
          <w:color w:val="1C1C1C"/>
          <w:spacing w:val="-13"/>
          <w:sz w:val="20"/>
        </w:rPr>
        <w:t> </w:t>
      </w:r>
      <w:r>
        <w:rPr>
          <w:color w:val="1C1C1C"/>
          <w:sz w:val="20"/>
        </w:rPr>
        <w:t>by</w:t>
      </w:r>
      <w:r>
        <w:rPr>
          <w:color w:val="1C1C1C"/>
          <w:spacing w:val="-13"/>
          <w:sz w:val="20"/>
        </w:rPr>
        <w:t> </w:t>
      </w:r>
      <w:r>
        <w:rPr>
          <w:color w:val="1C1C1C"/>
          <w:sz w:val="20"/>
        </w:rPr>
        <w:t>$2.3</w:t>
      </w:r>
      <w:r>
        <w:rPr>
          <w:color w:val="1C1C1C"/>
          <w:spacing w:val="-15"/>
          <w:sz w:val="20"/>
        </w:rPr>
        <w:t> </w:t>
      </w:r>
      <w:r>
        <w:rPr>
          <w:color w:val="1C1C1C"/>
          <w:sz w:val="20"/>
        </w:rPr>
        <w:t>million,</w:t>
      </w:r>
      <w:r>
        <w:rPr>
          <w:color w:val="1C1C1C"/>
          <w:spacing w:val="-14"/>
          <w:sz w:val="20"/>
        </w:rPr>
        <w:t> </w:t>
      </w:r>
      <w:r>
        <w:rPr>
          <w:color w:val="1C1C1C"/>
          <w:sz w:val="20"/>
        </w:rPr>
        <w:t>to</w:t>
      </w:r>
      <w:r>
        <w:rPr>
          <w:color w:val="1C1C1C"/>
          <w:spacing w:val="-13"/>
          <w:sz w:val="20"/>
        </w:rPr>
        <w:t> </w:t>
      </w:r>
      <w:r>
        <w:rPr>
          <w:color w:val="1C1C1C"/>
          <w:sz w:val="20"/>
        </w:rPr>
        <w:t>approximately</w:t>
      </w:r>
      <w:r>
        <w:rPr>
          <w:color w:val="1C1C1C"/>
          <w:spacing w:val="-13"/>
          <w:sz w:val="20"/>
        </w:rPr>
        <w:t> </w:t>
      </w:r>
      <w:r>
        <w:rPr>
          <w:color w:val="1C1C1C"/>
          <w:sz w:val="20"/>
        </w:rPr>
        <w:t>$11.3</w:t>
      </w:r>
      <w:r>
        <w:rPr>
          <w:color w:val="1C1C1C"/>
          <w:spacing w:val="-12"/>
          <w:sz w:val="20"/>
        </w:rPr>
        <w:t> </w:t>
      </w:r>
      <w:r>
        <w:rPr>
          <w:color w:val="1C1C1C"/>
          <w:sz w:val="20"/>
        </w:rPr>
        <w:t>million</w:t>
      </w:r>
      <w:r>
        <w:rPr>
          <w:color w:val="1C1C1C"/>
          <w:spacing w:val="-13"/>
          <w:sz w:val="20"/>
        </w:rPr>
        <w:t> </w:t>
      </w:r>
      <w:r>
        <w:rPr>
          <w:color w:val="1C1C1C"/>
          <w:sz w:val="20"/>
        </w:rPr>
        <w:t>after</w:t>
      </w:r>
      <w:r>
        <w:rPr>
          <w:color w:val="1C1C1C"/>
          <w:spacing w:val="-13"/>
          <w:sz w:val="20"/>
        </w:rPr>
        <w:t> </w:t>
      </w:r>
      <w:r>
        <w:rPr>
          <w:color w:val="1C1C1C"/>
          <w:sz w:val="20"/>
        </w:rPr>
        <w:t>closing</w:t>
      </w:r>
      <w:r>
        <w:rPr>
          <w:color w:val="1C1C1C"/>
          <w:spacing w:val="-13"/>
          <w:sz w:val="20"/>
        </w:rPr>
        <w:t> </w:t>
      </w:r>
      <w:r>
        <w:rPr>
          <w:color w:val="1C1C1C"/>
          <w:sz w:val="20"/>
        </w:rPr>
        <w:t>of</w:t>
      </w:r>
      <w:r>
        <w:rPr>
          <w:color w:val="1C1C1C"/>
          <w:spacing w:val="-15"/>
          <w:sz w:val="20"/>
        </w:rPr>
        <w:t> </w:t>
      </w:r>
      <w:r>
        <w:rPr>
          <w:color w:val="1C1C1C"/>
          <w:sz w:val="20"/>
        </w:rPr>
        <w:t>the</w:t>
      </w:r>
      <w:r>
        <w:rPr>
          <w:color w:val="1C1C1C"/>
          <w:spacing w:val="-13"/>
          <w:sz w:val="20"/>
        </w:rPr>
        <w:t> </w:t>
      </w:r>
      <w:r>
        <w:rPr>
          <w:color w:val="1C1C1C"/>
          <w:sz w:val="20"/>
        </w:rPr>
        <w:t>Rights</w:t>
      </w:r>
      <w:r>
        <w:rPr>
          <w:color w:val="1C1C1C"/>
          <w:spacing w:val="-13"/>
          <w:sz w:val="20"/>
        </w:rPr>
        <w:t> </w:t>
      </w:r>
      <w:r>
        <w:rPr>
          <w:color w:val="1C1C1C"/>
          <w:sz w:val="20"/>
        </w:rPr>
        <w:t>Offering, only a couple of weeks before we</w:t>
      </w:r>
      <w:r>
        <w:rPr>
          <w:color w:val="1C1C1C"/>
          <w:spacing w:val="-8"/>
          <w:sz w:val="20"/>
        </w:rPr>
        <w:t> </w:t>
      </w:r>
      <w:r>
        <w:rPr>
          <w:color w:val="1C1C1C"/>
          <w:sz w:val="20"/>
        </w:rPr>
        <w:t>resigned.</w:t>
      </w:r>
    </w:p>
    <w:p>
      <w:pPr>
        <w:pStyle w:val="ListParagraph"/>
        <w:numPr>
          <w:ilvl w:val="0"/>
          <w:numId w:val="9"/>
        </w:numPr>
        <w:tabs>
          <w:tab w:pos="1561" w:val="left" w:leader="none"/>
        </w:tabs>
        <w:spacing w:line="240" w:lineRule="auto" w:before="160" w:after="0"/>
        <w:ind w:left="1560" w:right="0" w:hanging="721"/>
        <w:jc w:val="both"/>
        <w:rPr>
          <w:b/>
          <w:color w:val="1C1C1C"/>
          <w:sz w:val="20"/>
        </w:rPr>
      </w:pPr>
      <w:r>
        <w:rPr>
          <w:b/>
          <w:color w:val="1C1C1C"/>
          <w:sz w:val="20"/>
          <w:u w:val="thick" w:color="1C1C1C"/>
        </w:rPr>
        <w:t>Use of Proceeds of Rights</w:t>
      </w:r>
      <w:r>
        <w:rPr>
          <w:b/>
          <w:color w:val="1C1C1C"/>
          <w:spacing w:val="-6"/>
          <w:sz w:val="20"/>
          <w:u w:val="thick" w:color="1C1C1C"/>
        </w:rPr>
        <w:t> </w:t>
      </w:r>
      <w:r>
        <w:rPr>
          <w:b/>
          <w:color w:val="1C1C1C"/>
          <w:sz w:val="20"/>
          <w:u w:val="thick" w:color="1C1C1C"/>
        </w:rPr>
        <w:t>Offering</w:t>
      </w:r>
    </w:p>
    <w:p>
      <w:pPr>
        <w:pStyle w:val="BodyText"/>
        <w:spacing w:before="7"/>
        <w:rPr>
          <w:b/>
          <w:sz w:val="15"/>
        </w:rPr>
      </w:pPr>
    </w:p>
    <w:p>
      <w:pPr>
        <w:pStyle w:val="ListParagraph"/>
        <w:numPr>
          <w:ilvl w:val="0"/>
          <w:numId w:val="1"/>
        </w:numPr>
        <w:tabs>
          <w:tab w:pos="841" w:val="left" w:leader="none"/>
        </w:tabs>
        <w:spacing w:line="360" w:lineRule="auto" w:before="94" w:after="0"/>
        <w:ind w:left="839" w:right="1197" w:hanging="720"/>
        <w:jc w:val="both"/>
        <w:rPr>
          <w:color w:val="1C1C1C"/>
          <w:sz w:val="20"/>
        </w:rPr>
      </w:pPr>
      <w:r>
        <w:rPr>
          <w:color w:val="1C1C1C"/>
          <w:sz w:val="20"/>
        </w:rPr>
        <w:t>As noted above in paragraph 66, I was director of KRN when the Rights Offering was approved. As</w:t>
      </w:r>
      <w:r>
        <w:rPr>
          <w:color w:val="1C1C1C"/>
          <w:spacing w:val="-14"/>
          <w:sz w:val="20"/>
        </w:rPr>
        <w:t> </w:t>
      </w:r>
      <w:r>
        <w:rPr>
          <w:color w:val="1C1C1C"/>
          <w:sz w:val="20"/>
        </w:rPr>
        <w:t>noted</w:t>
      </w:r>
      <w:r>
        <w:rPr>
          <w:color w:val="1C1C1C"/>
          <w:spacing w:val="-16"/>
          <w:sz w:val="20"/>
        </w:rPr>
        <w:t> </w:t>
      </w:r>
      <w:r>
        <w:rPr>
          <w:color w:val="1C1C1C"/>
          <w:sz w:val="20"/>
        </w:rPr>
        <w:t>above</w:t>
      </w:r>
      <w:r>
        <w:rPr>
          <w:color w:val="1C1C1C"/>
          <w:spacing w:val="-15"/>
          <w:sz w:val="20"/>
        </w:rPr>
        <w:t> </w:t>
      </w:r>
      <w:r>
        <w:rPr>
          <w:color w:val="1C1C1C"/>
          <w:sz w:val="20"/>
        </w:rPr>
        <w:t>in</w:t>
      </w:r>
      <w:r>
        <w:rPr>
          <w:color w:val="1C1C1C"/>
          <w:spacing w:val="-16"/>
          <w:sz w:val="20"/>
        </w:rPr>
        <w:t> </w:t>
      </w:r>
      <w:r>
        <w:rPr>
          <w:color w:val="1C1C1C"/>
          <w:sz w:val="20"/>
        </w:rPr>
        <w:t>paragraph</w:t>
      </w:r>
      <w:r>
        <w:rPr>
          <w:color w:val="1C1C1C"/>
          <w:spacing w:val="-15"/>
          <w:sz w:val="20"/>
        </w:rPr>
        <w:t> </w:t>
      </w:r>
      <w:r>
        <w:rPr>
          <w:color w:val="1C1C1C"/>
          <w:sz w:val="20"/>
        </w:rPr>
        <w:t>67,</w:t>
      </w:r>
      <w:r>
        <w:rPr>
          <w:color w:val="1C1C1C"/>
          <w:spacing w:val="-15"/>
          <w:sz w:val="20"/>
        </w:rPr>
        <w:t> </w:t>
      </w:r>
      <w:r>
        <w:rPr>
          <w:color w:val="1C1C1C"/>
          <w:sz w:val="20"/>
        </w:rPr>
        <w:t>I</w:t>
      </w:r>
      <w:r>
        <w:rPr>
          <w:color w:val="1C1C1C"/>
          <w:spacing w:val="-15"/>
          <w:sz w:val="20"/>
        </w:rPr>
        <w:t> </w:t>
      </w:r>
      <w:r>
        <w:rPr>
          <w:color w:val="1C1C1C"/>
          <w:sz w:val="20"/>
        </w:rPr>
        <w:t>personally</w:t>
      </w:r>
      <w:r>
        <w:rPr>
          <w:color w:val="1C1C1C"/>
          <w:spacing w:val="-14"/>
          <w:sz w:val="20"/>
        </w:rPr>
        <w:t> </w:t>
      </w:r>
      <w:r>
        <w:rPr>
          <w:color w:val="1C1C1C"/>
          <w:sz w:val="20"/>
        </w:rPr>
        <w:t>invested</w:t>
      </w:r>
      <w:r>
        <w:rPr>
          <w:color w:val="1C1C1C"/>
          <w:spacing w:val="-15"/>
          <w:sz w:val="20"/>
        </w:rPr>
        <w:t> </w:t>
      </w:r>
      <w:r>
        <w:rPr>
          <w:color w:val="1C1C1C"/>
          <w:sz w:val="20"/>
        </w:rPr>
        <w:t>in</w:t>
      </w:r>
      <w:r>
        <w:rPr>
          <w:color w:val="1C1C1C"/>
          <w:spacing w:val="-15"/>
          <w:sz w:val="20"/>
        </w:rPr>
        <w:t> </w:t>
      </w:r>
      <w:r>
        <w:rPr>
          <w:color w:val="1C1C1C"/>
          <w:sz w:val="20"/>
        </w:rPr>
        <w:t>the</w:t>
      </w:r>
      <w:r>
        <w:rPr>
          <w:color w:val="1C1C1C"/>
          <w:spacing w:val="-15"/>
          <w:sz w:val="20"/>
        </w:rPr>
        <w:t> </w:t>
      </w:r>
      <w:r>
        <w:rPr>
          <w:color w:val="1C1C1C"/>
          <w:sz w:val="20"/>
        </w:rPr>
        <w:t>Rights</w:t>
      </w:r>
      <w:r>
        <w:rPr>
          <w:color w:val="1C1C1C"/>
          <w:spacing w:val="-15"/>
          <w:sz w:val="20"/>
        </w:rPr>
        <w:t> </w:t>
      </w:r>
      <w:r>
        <w:rPr>
          <w:color w:val="1C1C1C"/>
          <w:sz w:val="20"/>
        </w:rPr>
        <w:t>Offering</w:t>
      </w:r>
      <w:r>
        <w:rPr>
          <w:color w:val="1C1C1C"/>
          <w:spacing w:val="-15"/>
          <w:sz w:val="20"/>
        </w:rPr>
        <w:t> </w:t>
      </w:r>
      <w:r>
        <w:rPr>
          <w:color w:val="1C1C1C"/>
          <w:sz w:val="20"/>
        </w:rPr>
        <w:t>for</w:t>
      </w:r>
      <w:r>
        <w:rPr>
          <w:color w:val="1C1C1C"/>
          <w:spacing w:val="-14"/>
          <w:sz w:val="20"/>
        </w:rPr>
        <w:t> </w:t>
      </w:r>
      <w:r>
        <w:rPr>
          <w:color w:val="1C1C1C"/>
          <w:sz w:val="20"/>
        </w:rPr>
        <w:t>the</w:t>
      </w:r>
      <w:r>
        <w:rPr>
          <w:color w:val="1C1C1C"/>
          <w:spacing w:val="-15"/>
          <w:sz w:val="20"/>
        </w:rPr>
        <w:t> </w:t>
      </w:r>
      <w:r>
        <w:rPr>
          <w:color w:val="1C1C1C"/>
          <w:sz w:val="20"/>
        </w:rPr>
        <w:t>specific</w:t>
      </w:r>
      <w:r>
        <w:rPr>
          <w:color w:val="1C1C1C"/>
          <w:spacing w:val="-14"/>
          <w:sz w:val="20"/>
        </w:rPr>
        <w:t> </w:t>
      </w:r>
      <w:r>
        <w:rPr>
          <w:color w:val="1C1C1C"/>
          <w:sz w:val="20"/>
        </w:rPr>
        <w:t>purpose of investigating the Nitrogen Project. KRN had $9 million in cash when the Rights Offering was undertaken, and the Rights Offering added $2.3 in cash to</w:t>
      </w:r>
      <w:r>
        <w:rPr>
          <w:color w:val="1C1C1C"/>
          <w:spacing w:val="-13"/>
          <w:sz w:val="20"/>
        </w:rPr>
        <w:t> </w:t>
      </w:r>
      <w:r>
        <w:rPr>
          <w:color w:val="1C1C1C"/>
          <w:sz w:val="20"/>
        </w:rPr>
        <w:t>KRN.</w:t>
      </w:r>
    </w:p>
    <w:p>
      <w:pPr>
        <w:pStyle w:val="ListParagraph"/>
        <w:numPr>
          <w:ilvl w:val="0"/>
          <w:numId w:val="1"/>
        </w:numPr>
        <w:tabs>
          <w:tab w:pos="840" w:val="left" w:leader="none"/>
        </w:tabs>
        <w:spacing w:line="360" w:lineRule="auto" w:before="159" w:after="0"/>
        <w:ind w:left="839" w:right="1198" w:hanging="721"/>
        <w:jc w:val="both"/>
        <w:rPr>
          <w:color w:val="1C1C1C"/>
          <w:sz w:val="20"/>
        </w:rPr>
      </w:pPr>
      <w:r>
        <w:rPr>
          <w:color w:val="1C1C1C"/>
          <w:sz w:val="20"/>
        </w:rPr>
        <w:t>The sole purpose of the Rights Offering was to raise additional funds in order that KRN did not have to use its existing $9 million in cash to fund the Nitrogen</w:t>
      </w:r>
      <w:r>
        <w:rPr>
          <w:color w:val="1C1C1C"/>
          <w:spacing w:val="-17"/>
          <w:sz w:val="20"/>
        </w:rPr>
        <w:t> </w:t>
      </w:r>
      <w:r>
        <w:rPr>
          <w:color w:val="1C1C1C"/>
          <w:sz w:val="20"/>
        </w:rPr>
        <w:t>Project.</w:t>
      </w:r>
    </w:p>
    <w:p>
      <w:pPr>
        <w:spacing w:after="0" w:line="360" w:lineRule="auto"/>
        <w:jc w:val="both"/>
        <w:rPr>
          <w:sz w:val="20"/>
        </w:rPr>
        <w:sectPr>
          <w:pgSz w:w="12240" w:h="15840"/>
          <w:pgMar w:header="0" w:footer="987" w:top="1220" w:bottom="1240" w:left="1320" w:right="240"/>
        </w:sectPr>
      </w:pPr>
    </w:p>
    <w:p>
      <w:pPr>
        <w:pStyle w:val="ListParagraph"/>
        <w:numPr>
          <w:ilvl w:val="0"/>
          <w:numId w:val="1"/>
        </w:numPr>
        <w:tabs>
          <w:tab w:pos="841" w:val="left" w:leader="none"/>
        </w:tabs>
        <w:spacing w:line="360" w:lineRule="auto" w:before="77" w:after="0"/>
        <w:ind w:left="839" w:right="1197" w:hanging="720"/>
        <w:jc w:val="both"/>
        <w:rPr>
          <w:color w:val="1C1C1C"/>
          <w:sz w:val="20"/>
        </w:rPr>
      </w:pPr>
      <w:r>
        <w:rPr>
          <w:color w:val="1C1C1C"/>
          <w:sz w:val="20"/>
        </w:rPr>
        <w:t>I verily believe that Favreau and the KRN Board are lying, and are intentionally misrepresenting the facts, when they state that the first $1 million raised under the Rights Offering was to pay the annual costs of the Potash Project, in priority to using such proceeds to investigate the Nitrogen Project.</w:t>
      </w:r>
      <w:r>
        <w:rPr>
          <w:color w:val="1C1C1C"/>
          <w:spacing w:val="38"/>
          <w:sz w:val="20"/>
        </w:rPr>
        <w:t> </w:t>
      </w:r>
      <w:r>
        <w:rPr>
          <w:color w:val="1C1C1C"/>
          <w:sz w:val="20"/>
        </w:rPr>
        <w:t>I</w:t>
      </w:r>
      <w:r>
        <w:rPr>
          <w:color w:val="1C1C1C"/>
          <w:spacing w:val="-8"/>
          <w:sz w:val="20"/>
        </w:rPr>
        <w:t> </w:t>
      </w:r>
      <w:r>
        <w:rPr>
          <w:color w:val="1C1C1C"/>
          <w:sz w:val="20"/>
        </w:rPr>
        <w:t>verily</w:t>
      </w:r>
      <w:r>
        <w:rPr>
          <w:color w:val="1C1C1C"/>
          <w:spacing w:val="-7"/>
          <w:sz w:val="20"/>
        </w:rPr>
        <w:t> </w:t>
      </w:r>
      <w:r>
        <w:rPr>
          <w:color w:val="1C1C1C"/>
          <w:sz w:val="20"/>
        </w:rPr>
        <w:t>believe</w:t>
      </w:r>
      <w:r>
        <w:rPr>
          <w:color w:val="1C1C1C"/>
          <w:spacing w:val="-9"/>
          <w:sz w:val="20"/>
        </w:rPr>
        <w:t> </w:t>
      </w:r>
      <w:r>
        <w:rPr>
          <w:color w:val="1C1C1C"/>
          <w:sz w:val="20"/>
        </w:rPr>
        <w:t>that</w:t>
      </w:r>
      <w:r>
        <w:rPr>
          <w:color w:val="1C1C1C"/>
          <w:spacing w:val="-10"/>
          <w:sz w:val="20"/>
        </w:rPr>
        <w:t> </w:t>
      </w:r>
      <w:r>
        <w:rPr>
          <w:color w:val="1C1C1C"/>
          <w:sz w:val="20"/>
        </w:rPr>
        <w:t>Favreau</w:t>
      </w:r>
      <w:r>
        <w:rPr>
          <w:color w:val="1C1C1C"/>
          <w:spacing w:val="-9"/>
          <w:sz w:val="20"/>
        </w:rPr>
        <w:t> </w:t>
      </w:r>
      <w:r>
        <w:rPr>
          <w:color w:val="1C1C1C"/>
          <w:sz w:val="20"/>
        </w:rPr>
        <w:t>knows</w:t>
      </w:r>
      <w:r>
        <w:rPr>
          <w:color w:val="1C1C1C"/>
          <w:spacing w:val="-8"/>
          <w:sz w:val="20"/>
        </w:rPr>
        <w:t> </w:t>
      </w:r>
      <w:r>
        <w:rPr>
          <w:color w:val="1C1C1C"/>
          <w:sz w:val="20"/>
        </w:rPr>
        <w:t>this</w:t>
      </w:r>
      <w:r>
        <w:rPr>
          <w:color w:val="1C1C1C"/>
          <w:spacing w:val="-7"/>
          <w:sz w:val="20"/>
        </w:rPr>
        <w:t> </w:t>
      </w:r>
      <w:r>
        <w:rPr>
          <w:color w:val="1C1C1C"/>
          <w:sz w:val="20"/>
        </w:rPr>
        <w:t>is</w:t>
      </w:r>
      <w:r>
        <w:rPr>
          <w:color w:val="1C1C1C"/>
          <w:spacing w:val="-7"/>
          <w:sz w:val="20"/>
        </w:rPr>
        <w:t> </w:t>
      </w:r>
      <w:r>
        <w:rPr>
          <w:color w:val="1C1C1C"/>
          <w:sz w:val="20"/>
        </w:rPr>
        <w:t>simply</w:t>
      </w:r>
      <w:r>
        <w:rPr>
          <w:color w:val="1C1C1C"/>
          <w:spacing w:val="-8"/>
          <w:sz w:val="20"/>
        </w:rPr>
        <w:t> </w:t>
      </w:r>
      <w:r>
        <w:rPr>
          <w:color w:val="1C1C1C"/>
          <w:sz w:val="20"/>
        </w:rPr>
        <w:t>false,</w:t>
      </w:r>
      <w:r>
        <w:rPr>
          <w:color w:val="1C1C1C"/>
          <w:spacing w:val="-8"/>
          <w:sz w:val="20"/>
        </w:rPr>
        <w:t> </w:t>
      </w:r>
      <w:r>
        <w:rPr>
          <w:color w:val="1C1C1C"/>
          <w:sz w:val="20"/>
        </w:rPr>
        <w:t>and</w:t>
      </w:r>
      <w:r>
        <w:rPr>
          <w:color w:val="1C1C1C"/>
          <w:spacing w:val="-9"/>
          <w:sz w:val="20"/>
        </w:rPr>
        <w:t> </w:t>
      </w:r>
      <w:r>
        <w:rPr>
          <w:color w:val="1C1C1C"/>
          <w:sz w:val="20"/>
        </w:rPr>
        <w:t>that</w:t>
      </w:r>
      <w:r>
        <w:rPr>
          <w:color w:val="1C1C1C"/>
          <w:spacing w:val="-9"/>
          <w:sz w:val="20"/>
        </w:rPr>
        <w:t> </w:t>
      </w:r>
      <w:r>
        <w:rPr>
          <w:color w:val="1C1C1C"/>
          <w:sz w:val="20"/>
        </w:rPr>
        <w:t>Favreau</w:t>
      </w:r>
      <w:r>
        <w:rPr>
          <w:color w:val="1C1C1C"/>
          <w:spacing w:val="-8"/>
          <w:sz w:val="20"/>
        </w:rPr>
        <w:t> </w:t>
      </w:r>
      <w:r>
        <w:rPr>
          <w:color w:val="1C1C1C"/>
          <w:sz w:val="20"/>
        </w:rPr>
        <w:t>is</w:t>
      </w:r>
      <w:r>
        <w:rPr>
          <w:color w:val="1C1C1C"/>
          <w:spacing w:val="-8"/>
          <w:sz w:val="20"/>
        </w:rPr>
        <w:t> </w:t>
      </w:r>
      <w:r>
        <w:rPr>
          <w:color w:val="1C1C1C"/>
          <w:sz w:val="20"/>
        </w:rPr>
        <w:t>fully</w:t>
      </w:r>
      <w:r>
        <w:rPr>
          <w:color w:val="1C1C1C"/>
          <w:spacing w:val="-7"/>
          <w:sz w:val="20"/>
        </w:rPr>
        <w:t> </w:t>
      </w:r>
      <w:r>
        <w:rPr>
          <w:color w:val="1C1C1C"/>
          <w:sz w:val="20"/>
        </w:rPr>
        <w:t>aware</w:t>
      </w:r>
      <w:r>
        <w:rPr>
          <w:color w:val="1C1C1C"/>
          <w:spacing w:val="-8"/>
          <w:sz w:val="20"/>
        </w:rPr>
        <w:t> </w:t>
      </w:r>
      <w:r>
        <w:rPr>
          <w:color w:val="1C1C1C"/>
          <w:sz w:val="20"/>
        </w:rPr>
        <w:t>that this is not what was approved by the KRN</w:t>
      </w:r>
      <w:r>
        <w:rPr>
          <w:color w:val="1C1C1C"/>
          <w:spacing w:val="-6"/>
          <w:sz w:val="20"/>
        </w:rPr>
        <w:t> </w:t>
      </w:r>
      <w:r>
        <w:rPr>
          <w:color w:val="1C1C1C"/>
          <w:sz w:val="20"/>
        </w:rPr>
        <w:t>Board.</w:t>
      </w:r>
    </w:p>
    <w:p>
      <w:pPr>
        <w:pStyle w:val="ListParagraph"/>
        <w:numPr>
          <w:ilvl w:val="0"/>
          <w:numId w:val="9"/>
        </w:numPr>
        <w:tabs>
          <w:tab w:pos="1560" w:val="left" w:leader="none"/>
        </w:tabs>
        <w:spacing w:line="240" w:lineRule="auto" w:before="157" w:after="0"/>
        <w:ind w:left="1559" w:right="0" w:hanging="720"/>
        <w:jc w:val="both"/>
        <w:rPr>
          <w:b/>
          <w:color w:val="1C1C1C"/>
          <w:sz w:val="20"/>
        </w:rPr>
      </w:pPr>
      <w:r>
        <w:rPr>
          <w:b/>
          <w:color w:val="1C1C1C"/>
          <w:sz w:val="20"/>
          <w:u w:val="thick" w:color="1C1C1C"/>
        </w:rPr>
        <w:t>Inflated Cost of Feasibility</w:t>
      </w:r>
      <w:r>
        <w:rPr>
          <w:b/>
          <w:color w:val="1C1C1C"/>
          <w:spacing w:val="-6"/>
          <w:sz w:val="20"/>
          <w:u w:val="thick" w:color="1C1C1C"/>
        </w:rPr>
        <w:t> </w:t>
      </w:r>
      <w:r>
        <w:rPr>
          <w:b/>
          <w:color w:val="1C1C1C"/>
          <w:sz w:val="20"/>
          <w:u w:val="thick" w:color="1C1C1C"/>
        </w:rPr>
        <w:t>Study</w:t>
      </w:r>
    </w:p>
    <w:p>
      <w:pPr>
        <w:pStyle w:val="BodyText"/>
        <w:spacing w:before="8"/>
        <w:rPr>
          <w:b/>
          <w:sz w:val="15"/>
        </w:rPr>
      </w:pPr>
    </w:p>
    <w:p>
      <w:pPr>
        <w:pStyle w:val="ListParagraph"/>
        <w:numPr>
          <w:ilvl w:val="0"/>
          <w:numId w:val="1"/>
        </w:numPr>
        <w:tabs>
          <w:tab w:pos="841" w:val="left" w:leader="none"/>
        </w:tabs>
        <w:spacing w:line="360" w:lineRule="auto" w:before="94" w:after="0"/>
        <w:ind w:left="840" w:right="1196" w:hanging="721"/>
        <w:jc w:val="both"/>
        <w:rPr>
          <w:color w:val="1C1C1C"/>
          <w:sz w:val="20"/>
        </w:rPr>
      </w:pPr>
      <w:r>
        <w:rPr>
          <w:color w:val="1C1C1C"/>
          <w:sz w:val="20"/>
        </w:rPr>
        <w:t>I am advised by Rowan and Wheatley, and verily believe, that the Wood Proposal indicated that the cost of a feasibility study for the Nitrogen Project was approximately $2.5 million, and that Favreau and the KRN Board were fully aware of the what the Wood Proposal indicated. I verily believe that Favreau and the KRN Board are purposely lying, and misrepresenting the cost of a feasibility</w:t>
      </w:r>
      <w:r>
        <w:rPr>
          <w:color w:val="1C1C1C"/>
          <w:spacing w:val="-3"/>
          <w:sz w:val="20"/>
        </w:rPr>
        <w:t> </w:t>
      </w:r>
      <w:r>
        <w:rPr>
          <w:color w:val="1C1C1C"/>
          <w:sz w:val="20"/>
        </w:rPr>
        <w:t>study</w:t>
      </w:r>
      <w:r>
        <w:rPr>
          <w:color w:val="1C1C1C"/>
          <w:spacing w:val="-2"/>
          <w:sz w:val="20"/>
        </w:rPr>
        <w:t> </w:t>
      </w:r>
      <w:r>
        <w:rPr>
          <w:color w:val="1C1C1C"/>
          <w:sz w:val="20"/>
        </w:rPr>
        <w:t>on</w:t>
      </w:r>
      <w:r>
        <w:rPr>
          <w:color w:val="1C1C1C"/>
          <w:spacing w:val="-4"/>
          <w:sz w:val="20"/>
        </w:rPr>
        <w:t> </w:t>
      </w:r>
      <w:r>
        <w:rPr>
          <w:color w:val="1C1C1C"/>
          <w:sz w:val="20"/>
        </w:rPr>
        <w:t>the</w:t>
      </w:r>
      <w:r>
        <w:rPr>
          <w:color w:val="1C1C1C"/>
          <w:spacing w:val="-3"/>
          <w:sz w:val="20"/>
        </w:rPr>
        <w:t> </w:t>
      </w:r>
      <w:r>
        <w:rPr>
          <w:color w:val="1C1C1C"/>
          <w:sz w:val="20"/>
        </w:rPr>
        <w:t>Nitrogen</w:t>
      </w:r>
      <w:r>
        <w:rPr>
          <w:color w:val="1C1C1C"/>
          <w:spacing w:val="-3"/>
          <w:sz w:val="20"/>
        </w:rPr>
        <w:t> </w:t>
      </w:r>
      <w:r>
        <w:rPr>
          <w:color w:val="1C1C1C"/>
          <w:sz w:val="20"/>
        </w:rPr>
        <w:t>Project,</w:t>
      </w:r>
      <w:r>
        <w:rPr>
          <w:color w:val="1C1C1C"/>
          <w:spacing w:val="-5"/>
          <w:sz w:val="20"/>
        </w:rPr>
        <w:t> </w:t>
      </w:r>
      <w:r>
        <w:rPr>
          <w:color w:val="1C1C1C"/>
          <w:sz w:val="20"/>
        </w:rPr>
        <w:t>to</w:t>
      </w:r>
      <w:r>
        <w:rPr>
          <w:color w:val="1C1C1C"/>
          <w:spacing w:val="-2"/>
          <w:sz w:val="20"/>
        </w:rPr>
        <w:t> </w:t>
      </w:r>
      <w:r>
        <w:rPr>
          <w:color w:val="1C1C1C"/>
          <w:sz w:val="20"/>
        </w:rPr>
        <w:t>cast</w:t>
      </w:r>
      <w:r>
        <w:rPr>
          <w:color w:val="1C1C1C"/>
          <w:spacing w:val="-4"/>
          <w:sz w:val="20"/>
        </w:rPr>
        <w:t> </w:t>
      </w:r>
      <w:r>
        <w:rPr>
          <w:color w:val="1C1C1C"/>
          <w:sz w:val="20"/>
        </w:rPr>
        <w:t>aspersions</w:t>
      </w:r>
      <w:r>
        <w:rPr>
          <w:color w:val="1C1C1C"/>
          <w:spacing w:val="-3"/>
          <w:sz w:val="20"/>
        </w:rPr>
        <w:t> </w:t>
      </w:r>
      <w:r>
        <w:rPr>
          <w:color w:val="1C1C1C"/>
          <w:sz w:val="20"/>
        </w:rPr>
        <w:t>on</w:t>
      </w:r>
      <w:r>
        <w:rPr>
          <w:color w:val="1C1C1C"/>
          <w:spacing w:val="-3"/>
          <w:sz w:val="20"/>
        </w:rPr>
        <w:t> </w:t>
      </w:r>
      <w:r>
        <w:rPr>
          <w:color w:val="1C1C1C"/>
          <w:sz w:val="20"/>
        </w:rPr>
        <w:t>Rowan</w:t>
      </w:r>
      <w:r>
        <w:rPr>
          <w:color w:val="1C1C1C"/>
          <w:spacing w:val="-3"/>
          <w:sz w:val="20"/>
        </w:rPr>
        <w:t> </w:t>
      </w:r>
      <w:r>
        <w:rPr>
          <w:color w:val="1C1C1C"/>
          <w:sz w:val="20"/>
        </w:rPr>
        <w:t>and</w:t>
      </w:r>
      <w:r>
        <w:rPr>
          <w:color w:val="1C1C1C"/>
          <w:spacing w:val="-4"/>
          <w:sz w:val="20"/>
        </w:rPr>
        <w:t> </w:t>
      </w:r>
      <w:r>
        <w:rPr>
          <w:color w:val="1C1C1C"/>
          <w:sz w:val="20"/>
        </w:rPr>
        <w:t>Wheatley,</w:t>
      </w:r>
      <w:r>
        <w:rPr>
          <w:color w:val="1C1C1C"/>
          <w:spacing w:val="-4"/>
          <w:sz w:val="20"/>
        </w:rPr>
        <w:t> </w:t>
      </w:r>
      <w:r>
        <w:rPr>
          <w:color w:val="1C1C1C"/>
          <w:sz w:val="20"/>
        </w:rPr>
        <w:t>and</w:t>
      </w:r>
      <w:r>
        <w:rPr>
          <w:color w:val="1C1C1C"/>
          <w:spacing w:val="-3"/>
          <w:sz w:val="20"/>
        </w:rPr>
        <w:t> </w:t>
      </w:r>
      <w:r>
        <w:rPr>
          <w:color w:val="1C1C1C"/>
          <w:sz w:val="20"/>
        </w:rPr>
        <w:t>to</w:t>
      </w:r>
      <w:r>
        <w:rPr>
          <w:color w:val="1C1C1C"/>
          <w:spacing w:val="-4"/>
          <w:sz w:val="20"/>
        </w:rPr>
        <w:t> </w:t>
      </w:r>
      <w:r>
        <w:rPr>
          <w:color w:val="1C1C1C"/>
          <w:sz w:val="20"/>
        </w:rPr>
        <w:t>justify their hiring GSFC to prepare the Nitrogen</w:t>
      </w:r>
      <w:r>
        <w:rPr>
          <w:color w:val="1C1C1C"/>
          <w:spacing w:val="-7"/>
          <w:sz w:val="20"/>
        </w:rPr>
        <w:t> </w:t>
      </w:r>
      <w:r>
        <w:rPr>
          <w:color w:val="1C1C1C"/>
          <w:sz w:val="20"/>
        </w:rPr>
        <w:t>Study.</w:t>
      </w:r>
    </w:p>
    <w:p>
      <w:pPr>
        <w:spacing w:before="160"/>
        <w:ind w:left="120" w:right="0" w:firstLine="0"/>
        <w:jc w:val="both"/>
        <w:rPr>
          <w:b/>
          <w:sz w:val="20"/>
        </w:rPr>
      </w:pPr>
      <w:r>
        <w:rPr>
          <w:b/>
          <w:color w:val="1C1C1C"/>
          <w:sz w:val="20"/>
        </w:rPr>
        <w:t>Settlement Discussions</w:t>
      </w:r>
    </w:p>
    <w:p>
      <w:pPr>
        <w:pStyle w:val="BodyText"/>
        <w:spacing w:before="9"/>
        <w:rPr>
          <w:b/>
          <w:sz w:val="30"/>
        </w:rPr>
      </w:pPr>
    </w:p>
    <w:p>
      <w:pPr>
        <w:pStyle w:val="ListParagraph"/>
        <w:numPr>
          <w:ilvl w:val="0"/>
          <w:numId w:val="10"/>
        </w:numPr>
        <w:tabs>
          <w:tab w:pos="839" w:val="left" w:leader="none"/>
          <w:tab w:pos="841" w:val="left" w:leader="none"/>
        </w:tabs>
        <w:spacing w:line="240" w:lineRule="auto" w:before="0" w:after="0"/>
        <w:ind w:left="840" w:right="0" w:hanging="721"/>
        <w:jc w:val="left"/>
        <w:rPr>
          <w:b/>
          <w:sz w:val="20"/>
        </w:rPr>
      </w:pPr>
      <w:r>
        <w:rPr>
          <w:b/>
          <w:color w:val="1C1C1C"/>
          <w:sz w:val="20"/>
          <w:u w:val="thick" w:color="1C1C1C"/>
        </w:rPr>
        <w:t>Good Faith</w:t>
      </w:r>
      <w:r>
        <w:rPr>
          <w:b/>
          <w:color w:val="1C1C1C"/>
          <w:spacing w:val="-3"/>
          <w:sz w:val="20"/>
          <w:u w:val="thick" w:color="1C1C1C"/>
        </w:rPr>
        <w:t> </w:t>
      </w:r>
      <w:r>
        <w:rPr>
          <w:b/>
          <w:color w:val="1C1C1C"/>
          <w:sz w:val="20"/>
          <w:u w:val="thick" w:color="1C1C1C"/>
        </w:rPr>
        <w:t>Discussions</w:t>
      </w:r>
    </w:p>
    <w:p>
      <w:pPr>
        <w:pStyle w:val="BodyText"/>
        <w:spacing w:before="8"/>
        <w:rPr>
          <w:b/>
          <w:sz w:val="22"/>
        </w:rPr>
      </w:pPr>
    </w:p>
    <w:p>
      <w:pPr>
        <w:pStyle w:val="ListParagraph"/>
        <w:numPr>
          <w:ilvl w:val="0"/>
          <w:numId w:val="11"/>
        </w:numPr>
        <w:tabs>
          <w:tab w:pos="841" w:val="left" w:leader="none"/>
        </w:tabs>
        <w:spacing w:line="360" w:lineRule="auto" w:before="94" w:after="0"/>
        <w:ind w:left="839" w:right="1197" w:hanging="720"/>
        <w:jc w:val="both"/>
        <w:rPr>
          <w:color w:val="1C1C1C"/>
          <w:sz w:val="20"/>
        </w:rPr>
      </w:pPr>
      <w:r>
        <w:rPr>
          <w:color w:val="1C1C1C"/>
          <w:sz w:val="20"/>
        </w:rPr>
        <w:t>I am advised by Rowan, and verily believe that, in early November 2020, the Concerned Shareholders began discussions (the “</w:t>
      </w:r>
      <w:r>
        <w:rPr>
          <w:b/>
          <w:color w:val="1C1C1C"/>
          <w:sz w:val="20"/>
        </w:rPr>
        <w:t>Settlement Discussions</w:t>
      </w:r>
      <w:r>
        <w:rPr>
          <w:color w:val="1C1C1C"/>
          <w:sz w:val="20"/>
        </w:rPr>
        <w:t>”), through a number of intermediaries (the “</w:t>
      </w:r>
      <w:r>
        <w:rPr>
          <w:b/>
          <w:color w:val="1C1C1C"/>
          <w:sz w:val="20"/>
        </w:rPr>
        <w:t>Intermediaries</w:t>
      </w:r>
      <w:r>
        <w:rPr>
          <w:color w:val="1C1C1C"/>
          <w:sz w:val="20"/>
        </w:rPr>
        <w:t>”), with senior members of the Gujarat Government, in good faith regarding reaching a settlement agreement regarding our proposal to reconstitute the KRN Board with six (6)</w:t>
      </w:r>
      <w:r>
        <w:rPr>
          <w:color w:val="1C1C1C"/>
          <w:spacing w:val="-4"/>
          <w:sz w:val="20"/>
        </w:rPr>
        <w:t> </w:t>
      </w:r>
      <w:r>
        <w:rPr>
          <w:color w:val="1C1C1C"/>
          <w:sz w:val="20"/>
        </w:rPr>
        <w:t>directors.</w:t>
      </w:r>
    </w:p>
    <w:p>
      <w:pPr>
        <w:pStyle w:val="BodyText"/>
        <w:spacing w:before="11"/>
      </w:pPr>
    </w:p>
    <w:p>
      <w:pPr>
        <w:pStyle w:val="ListParagraph"/>
        <w:numPr>
          <w:ilvl w:val="0"/>
          <w:numId w:val="11"/>
        </w:numPr>
        <w:tabs>
          <w:tab w:pos="840" w:val="left" w:leader="none"/>
        </w:tabs>
        <w:spacing w:line="360" w:lineRule="auto" w:before="0" w:after="0"/>
        <w:ind w:left="839" w:right="1196" w:hanging="721"/>
        <w:jc w:val="both"/>
        <w:rPr>
          <w:color w:val="1C1C1C"/>
          <w:sz w:val="20"/>
        </w:rPr>
      </w:pPr>
      <w:r>
        <w:rPr>
          <w:color w:val="1C1C1C"/>
          <w:sz w:val="20"/>
        </w:rPr>
        <w:t>I am advised by Rowan, and verily believe that, given a new GSFC MD was appointed on December</w:t>
      </w:r>
      <w:r>
        <w:rPr>
          <w:color w:val="1C1C1C"/>
          <w:spacing w:val="-13"/>
          <w:sz w:val="20"/>
        </w:rPr>
        <w:t> </w:t>
      </w:r>
      <w:r>
        <w:rPr>
          <w:color w:val="1C1C1C"/>
          <w:sz w:val="20"/>
        </w:rPr>
        <w:t>8,</w:t>
      </w:r>
      <w:r>
        <w:rPr>
          <w:color w:val="1C1C1C"/>
          <w:spacing w:val="-15"/>
          <w:sz w:val="20"/>
        </w:rPr>
        <w:t> </w:t>
      </w:r>
      <w:r>
        <w:rPr>
          <w:color w:val="1C1C1C"/>
          <w:sz w:val="20"/>
        </w:rPr>
        <w:t>2020,</w:t>
      </w:r>
      <w:r>
        <w:rPr>
          <w:color w:val="1C1C1C"/>
          <w:spacing w:val="-13"/>
          <w:sz w:val="20"/>
        </w:rPr>
        <w:t> </w:t>
      </w:r>
      <w:r>
        <w:rPr>
          <w:color w:val="1C1C1C"/>
          <w:sz w:val="20"/>
        </w:rPr>
        <w:t>direct</w:t>
      </w:r>
      <w:r>
        <w:rPr>
          <w:color w:val="1C1C1C"/>
          <w:spacing w:val="-14"/>
          <w:sz w:val="20"/>
        </w:rPr>
        <w:t> </w:t>
      </w:r>
      <w:r>
        <w:rPr>
          <w:color w:val="1C1C1C"/>
          <w:sz w:val="20"/>
        </w:rPr>
        <w:t>discussions</w:t>
      </w:r>
      <w:r>
        <w:rPr>
          <w:color w:val="1C1C1C"/>
          <w:spacing w:val="-13"/>
          <w:sz w:val="20"/>
        </w:rPr>
        <w:t> </w:t>
      </w:r>
      <w:r>
        <w:rPr>
          <w:color w:val="1C1C1C"/>
          <w:sz w:val="20"/>
        </w:rPr>
        <w:t>with</w:t>
      </w:r>
      <w:r>
        <w:rPr>
          <w:color w:val="1C1C1C"/>
          <w:spacing w:val="-13"/>
          <w:sz w:val="20"/>
        </w:rPr>
        <w:t> </w:t>
      </w:r>
      <w:r>
        <w:rPr>
          <w:color w:val="1C1C1C"/>
          <w:sz w:val="20"/>
        </w:rPr>
        <w:t>the</w:t>
      </w:r>
      <w:r>
        <w:rPr>
          <w:color w:val="1C1C1C"/>
          <w:spacing w:val="-12"/>
          <w:sz w:val="20"/>
        </w:rPr>
        <w:t> </w:t>
      </w:r>
      <w:r>
        <w:rPr>
          <w:color w:val="1C1C1C"/>
          <w:sz w:val="20"/>
        </w:rPr>
        <w:t>new</w:t>
      </w:r>
      <w:r>
        <w:rPr>
          <w:color w:val="1C1C1C"/>
          <w:spacing w:val="-13"/>
          <w:sz w:val="20"/>
        </w:rPr>
        <w:t> </w:t>
      </w:r>
      <w:r>
        <w:rPr>
          <w:color w:val="1C1C1C"/>
          <w:sz w:val="20"/>
        </w:rPr>
        <w:t>GSFC</w:t>
      </w:r>
      <w:r>
        <w:rPr>
          <w:color w:val="1C1C1C"/>
          <w:spacing w:val="-13"/>
          <w:sz w:val="20"/>
        </w:rPr>
        <w:t> </w:t>
      </w:r>
      <w:r>
        <w:rPr>
          <w:color w:val="1C1C1C"/>
          <w:sz w:val="20"/>
        </w:rPr>
        <w:t>MD</w:t>
      </w:r>
      <w:r>
        <w:rPr>
          <w:color w:val="1C1C1C"/>
          <w:spacing w:val="-13"/>
          <w:sz w:val="20"/>
        </w:rPr>
        <w:t> </w:t>
      </w:r>
      <w:r>
        <w:rPr>
          <w:color w:val="1C1C1C"/>
          <w:sz w:val="20"/>
        </w:rPr>
        <w:t>were</w:t>
      </w:r>
      <w:r>
        <w:rPr>
          <w:color w:val="1C1C1C"/>
          <w:spacing w:val="-15"/>
          <w:sz w:val="20"/>
        </w:rPr>
        <w:t> </w:t>
      </w:r>
      <w:r>
        <w:rPr>
          <w:color w:val="1C1C1C"/>
          <w:sz w:val="20"/>
        </w:rPr>
        <w:t>not</w:t>
      </w:r>
      <w:r>
        <w:rPr>
          <w:color w:val="1C1C1C"/>
          <w:spacing w:val="-13"/>
          <w:sz w:val="20"/>
        </w:rPr>
        <w:t> </w:t>
      </w:r>
      <w:r>
        <w:rPr>
          <w:color w:val="1C1C1C"/>
          <w:sz w:val="20"/>
        </w:rPr>
        <w:t>possible</w:t>
      </w:r>
      <w:r>
        <w:rPr>
          <w:color w:val="1C1C1C"/>
          <w:spacing w:val="-13"/>
          <w:sz w:val="20"/>
        </w:rPr>
        <w:t> </w:t>
      </w:r>
      <w:r>
        <w:rPr>
          <w:color w:val="1C1C1C"/>
          <w:sz w:val="20"/>
        </w:rPr>
        <w:t>prior</w:t>
      </w:r>
      <w:r>
        <w:rPr>
          <w:color w:val="1C1C1C"/>
          <w:spacing w:val="-12"/>
          <w:sz w:val="20"/>
        </w:rPr>
        <w:t> </w:t>
      </w:r>
      <w:r>
        <w:rPr>
          <w:color w:val="1C1C1C"/>
          <w:sz w:val="20"/>
        </w:rPr>
        <w:t>to</w:t>
      </w:r>
      <w:r>
        <w:rPr>
          <w:color w:val="1C1C1C"/>
          <w:spacing w:val="-13"/>
          <w:sz w:val="20"/>
        </w:rPr>
        <w:t> </w:t>
      </w:r>
      <w:r>
        <w:rPr>
          <w:color w:val="1C1C1C"/>
          <w:sz w:val="20"/>
        </w:rPr>
        <w:t>the</w:t>
      </w:r>
      <w:r>
        <w:rPr>
          <w:color w:val="1C1C1C"/>
          <w:spacing w:val="-12"/>
          <w:sz w:val="20"/>
        </w:rPr>
        <w:t> </w:t>
      </w:r>
      <w:r>
        <w:rPr>
          <w:color w:val="1C1C1C"/>
          <w:sz w:val="20"/>
        </w:rPr>
        <w:t>Special Meeting.</w:t>
      </w:r>
    </w:p>
    <w:p>
      <w:pPr>
        <w:pStyle w:val="BodyText"/>
        <w:spacing w:before="9"/>
      </w:pPr>
    </w:p>
    <w:p>
      <w:pPr>
        <w:pStyle w:val="ListParagraph"/>
        <w:numPr>
          <w:ilvl w:val="0"/>
          <w:numId w:val="11"/>
        </w:numPr>
        <w:tabs>
          <w:tab w:pos="840" w:val="left" w:leader="none"/>
        </w:tabs>
        <w:spacing w:line="360" w:lineRule="auto" w:before="0" w:after="0"/>
        <w:ind w:left="839" w:right="1196" w:hanging="721"/>
        <w:jc w:val="both"/>
        <w:rPr>
          <w:color w:val="1C1C1C"/>
          <w:sz w:val="20"/>
        </w:rPr>
      </w:pPr>
      <w:r>
        <w:rPr>
          <w:color w:val="1C1C1C"/>
          <w:sz w:val="20"/>
        </w:rPr>
        <w:t>I am advised by Rowan, and verily believe that, the Intermediaries suggested to the Gujarat Government, and the KRN Board, as a good faith gesture with respect to the Settlement Discussions, that in order to give the new GSFC MD time to familiarize himself with this matter, that:</w:t>
      </w:r>
    </w:p>
    <w:p>
      <w:pPr>
        <w:pStyle w:val="BodyText"/>
        <w:rPr>
          <w:sz w:val="21"/>
        </w:rPr>
      </w:pPr>
    </w:p>
    <w:p>
      <w:pPr>
        <w:pStyle w:val="ListParagraph"/>
        <w:numPr>
          <w:ilvl w:val="1"/>
          <w:numId w:val="11"/>
        </w:numPr>
        <w:tabs>
          <w:tab w:pos="1559" w:val="left" w:leader="none"/>
          <w:tab w:pos="1560" w:val="left" w:leader="none"/>
        </w:tabs>
        <w:spacing w:line="350" w:lineRule="auto" w:before="0" w:after="0"/>
        <w:ind w:left="1559" w:right="1198" w:hanging="721"/>
        <w:jc w:val="left"/>
        <w:rPr>
          <w:rFonts w:ascii="Symbol" w:hAnsi="Symbol"/>
          <w:color w:val="1C1C1C"/>
          <w:sz w:val="20"/>
        </w:rPr>
      </w:pPr>
      <w:r>
        <w:rPr>
          <w:color w:val="1C1C1C"/>
          <w:sz w:val="20"/>
        </w:rPr>
        <w:t>the Special Meeting be postponed, or adjourned, for a period of thirty (30) days for the Settlement Discussions to continue;</w:t>
      </w:r>
      <w:r>
        <w:rPr>
          <w:color w:val="1C1C1C"/>
          <w:spacing w:val="-5"/>
          <w:sz w:val="20"/>
        </w:rPr>
        <w:t> </w:t>
      </w:r>
      <w:r>
        <w:rPr>
          <w:color w:val="1C1C1C"/>
          <w:sz w:val="20"/>
        </w:rPr>
        <w:t>and</w:t>
      </w:r>
    </w:p>
    <w:p>
      <w:pPr>
        <w:pStyle w:val="BodyText"/>
        <w:spacing w:before="10"/>
        <w:rPr>
          <w:sz w:val="30"/>
        </w:rPr>
      </w:pPr>
    </w:p>
    <w:p>
      <w:pPr>
        <w:pStyle w:val="ListParagraph"/>
        <w:numPr>
          <w:ilvl w:val="1"/>
          <w:numId w:val="11"/>
        </w:numPr>
        <w:tabs>
          <w:tab w:pos="1559" w:val="left" w:leader="none"/>
          <w:tab w:pos="1560" w:val="left" w:leader="none"/>
        </w:tabs>
        <w:spacing w:line="350" w:lineRule="auto" w:before="1" w:after="0"/>
        <w:ind w:left="1559" w:right="1197" w:hanging="721"/>
        <w:jc w:val="left"/>
        <w:rPr>
          <w:rFonts w:ascii="Symbol" w:hAnsi="Symbol"/>
          <w:color w:val="1C1C1C"/>
          <w:sz w:val="20"/>
        </w:rPr>
      </w:pPr>
      <w:r>
        <w:rPr>
          <w:color w:val="1C1C1C"/>
          <w:sz w:val="20"/>
        </w:rPr>
        <w:t>GSFC</w:t>
      </w:r>
      <w:r>
        <w:rPr>
          <w:color w:val="1C1C1C"/>
          <w:spacing w:val="-6"/>
          <w:sz w:val="20"/>
        </w:rPr>
        <w:t> </w:t>
      </w:r>
      <w:r>
        <w:rPr>
          <w:color w:val="1C1C1C"/>
          <w:sz w:val="20"/>
        </w:rPr>
        <w:t>withdraw</w:t>
      </w:r>
      <w:r>
        <w:rPr>
          <w:color w:val="1C1C1C"/>
          <w:spacing w:val="-5"/>
          <w:sz w:val="20"/>
        </w:rPr>
        <w:t> </w:t>
      </w:r>
      <w:r>
        <w:rPr>
          <w:color w:val="1C1C1C"/>
          <w:sz w:val="20"/>
        </w:rPr>
        <w:t>its</w:t>
      </w:r>
      <w:r>
        <w:rPr>
          <w:color w:val="1C1C1C"/>
          <w:spacing w:val="-5"/>
          <w:sz w:val="20"/>
        </w:rPr>
        <w:t> </w:t>
      </w:r>
      <w:r>
        <w:rPr>
          <w:color w:val="1C1C1C"/>
          <w:sz w:val="20"/>
        </w:rPr>
        <w:t>proxy</w:t>
      </w:r>
      <w:r>
        <w:rPr>
          <w:color w:val="1C1C1C"/>
          <w:spacing w:val="-6"/>
          <w:sz w:val="20"/>
        </w:rPr>
        <w:t> </w:t>
      </w:r>
      <w:r>
        <w:rPr>
          <w:color w:val="1C1C1C"/>
          <w:sz w:val="20"/>
        </w:rPr>
        <w:t>for</w:t>
      </w:r>
      <w:r>
        <w:rPr>
          <w:color w:val="1C1C1C"/>
          <w:spacing w:val="-5"/>
          <w:sz w:val="20"/>
        </w:rPr>
        <w:t> </w:t>
      </w:r>
      <w:r>
        <w:rPr>
          <w:color w:val="1C1C1C"/>
          <w:sz w:val="20"/>
        </w:rPr>
        <w:t>the</w:t>
      </w:r>
      <w:r>
        <w:rPr>
          <w:color w:val="1C1C1C"/>
          <w:spacing w:val="-5"/>
          <w:sz w:val="20"/>
        </w:rPr>
        <w:t> </w:t>
      </w:r>
      <w:r>
        <w:rPr>
          <w:color w:val="1C1C1C"/>
          <w:sz w:val="20"/>
        </w:rPr>
        <w:t>Special</w:t>
      </w:r>
      <w:r>
        <w:rPr>
          <w:color w:val="1C1C1C"/>
          <w:spacing w:val="-7"/>
          <w:sz w:val="20"/>
        </w:rPr>
        <w:t> </w:t>
      </w:r>
      <w:r>
        <w:rPr>
          <w:color w:val="1C1C1C"/>
          <w:sz w:val="20"/>
        </w:rPr>
        <w:t>Meeting</w:t>
      </w:r>
      <w:r>
        <w:rPr>
          <w:color w:val="1C1C1C"/>
          <w:spacing w:val="-6"/>
          <w:sz w:val="20"/>
        </w:rPr>
        <w:t> </w:t>
      </w:r>
      <w:r>
        <w:rPr>
          <w:color w:val="1C1C1C"/>
          <w:sz w:val="20"/>
        </w:rPr>
        <w:t>for</w:t>
      </w:r>
      <w:r>
        <w:rPr>
          <w:color w:val="1C1C1C"/>
          <w:spacing w:val="-5"/>
          <w:sz w:val="20"/>
        </w:rPr>
        <w:t> </w:t>
      </w:r>
      <w:r>
        <w:rPr>
          <w:color w:val="1C1C1C"/>
          <w:sz w:val="20"/>
        </w:rPr>
        <w:t>a</w:t>
      </w:r>
      <w:r>
        <w:rPr>
          <w:color w:val="1C1C1C"/>
          <w:spacing w:val="-6"/>
          <w:sz w:val="20"/>
        </w:rPr>
        <w:t> </w:t>
      </w:r>
      <w:r>
        <w:rPr>
          <w:color w:val="1C1C1C"/>
          <w:sz w:val="20"/>
        </w:rPr>
        <w:t>period</w:t>
      </w:r>
      <w:r>
        <w:rPr>
          <w:color w:val="1C1C1C"/>
          <w:spacing w:val="-6"/>
          <w:sz w:val="20"/>
        </w:rPr>
        <w:t> </w:t>
      </w:r>
      <w:r>
        <w:rPr>
          <w:color w:val="1C1C1C"/>
          <w:sz w:val="20"/>
        </w:rPr>
        <w:t>of</w:t>
      </w:r>
      <w:r>
        <w:rPr>
          <w:color w:val="1C1C1C"/>
          <w:spacing w:val="-6"/>
          <w:sz w:val="20"/>
        </w:rPr>
        <w:t> </w:t>
      </w:r>
      <w:r>
        <w:rPr>
          <w:color w:val="1C1C1C"/>
          <w:sz w:val="20"/>
        </w:rPr>
        <w:t>thirty</w:t>
      </w:r>
      <w:r>
        <w:rPr>
          <w:color w:val="1C1C1C"/>
          <w:spacing w:val="-5"/>
          <w:sz w:val="20"/>
        </w:rPr>
        <w:t> </w:t>
      </w:r>
      <w:r>
        <w:rPr>
          <w:color w:val="1C1C1C"/>
          <w:sz w:val="20"/>
        </w:rPr>
        <w:t>(30)</w:t>
      </w:r>
      <w:r>
        <w:rPr>
          <w:color w:val="1C1C1C"/>
          <w:spacing w:val="-5"/>
          <w:sz w:val="20"/>
        </w:rPr>
        <w:t> </w:t>
      </w:r>
      <w:r>
        <w:rPr>
          <w:color w:val="1C1C1C"/>
          <w:sz w:val="20"/>
        </w:rPr>
        <w:t>days,</w:t>
      </w:r>
      <w:r>
        <w:rPr>
          <w:color w:val="1C1C1C"/>
          <w:spacing w:val="-7"/>
          <w:sz w:val="20"/>
        </w:rPr>
        <w:t> </w:t>
      </w:r>
      <w:r>
        <w:rPr>
          <w:color w:val="1C1C1C"/>
          <w:sz w:val="20"/>
        </w:rPr>
        <w:t>in</w:t>
      </w:r>
      <w:r>
        <w:rPr>
          <w:color w:val="1C1C1C"/>
          <w:spacing w:val="-5"/>
          <w:sz w:val="20"/>
        </w:rPr>
        <w:t> </w:t>
      </w:r>
      <w:r>
        <w:rPr>
          <w:color w:val="1C1C1C"/>
          <w:sz w:val="20"/>
        </w:rPr>
        <w:t>order</w:t>
      </w:r>
      <w:r>
        <w:rPr>
          <w:color w:val="1C1C1C"/>
          <w:spacing w:val="-5"/>
          <w:sz w:val="20"/>
        </w:rPr>
        <w:t> </w:t>
      </w:r>
      <w:r>
        <w:rPr>
          <w:color w:val="1C1C1C"/>
          <w:sz w:val="20"/>
        </w:rPr>
        <w:t>to facilitate the continuation of the Settlement</w:t>
      </w:r>
      <w:r>
        <w:rPr>
          <w:color w:val="1C1C1C"/>
          <w:spacing w:val="-8"/>
          <w:sz w:val="20"/>
        </w:rPr>
        <w:t> </w:t>
      </w:r>
      <w:r>
        <w:rPr>
          <w:color w:val="1C1C1C"/>
          <w:sz w:val="20"/>
        </w:rPr>
        <w:t>Discussions.</w:t>
      </w:r>
    </w:p>
    <w:p>
      <w:pPr>
        <w:spacing w:after="0" w:line="350" w:lineRule="auto"/>
        <w:jc w:val="left"/>
        <w:rPr>
          <w:rFonts w:ascii="Symbol" w:hAnsi="Symbol"/>
          <w:sz w:val="20"/>
        </w:rPr>
        <w:sectPr>
          <w:pgSz w:w="12240" w:h="15840"/>
          <w:pgMar w:header="0" w:footer="987" w:top="1220" w:bottom="1180" w:left="1320" w:right="240"/>
        </w:sectPr>
      </w:pPr>
    </w:p>
    <w:p>
      <w:pPr>
        <w:pStyle w:val="ListParagraph"/>
        <w:numPr>
          <w:ilvl w:val="0"/>
          <w:numId w:val="11"/>
        </w:numPr>
        <w:tabs>
          <w:tab w:pos="839" w:val="left" w:leader="none"/>
          <w:tab w:pos="841" w:val="left" w:leader="none"/>
        </w:tabs>
        <w:spacing w:line="360" w:lineRule="auto" w:before="75" w:after="0"/>
        <w:ind w:left="840" w:right="1196" w:hanging="721"/>
        <w:jc w:val="left"/>
        <w:rPr>
          <w:color w:val="1C1C1C"/>
          <w:sz w:val="20"/>
        </w:rPr>
      </w:pPr>
      <w:r>
        <w:rPr>
          <w:color w:val="1C1C1C"/>
          <w:sz w:val="20"/>
        </w:rPr>
        <w:t>I am advised by Rowan, and verily believe that, notwithstanding these good faith suggestions, GSFC, the KRN Board and management held the Special</w:t>
      </w:r>
      <w:r>
        <w:rPr>
          <w:color w:val="1C1C1C"/>
          <w:spacing w:val="-11"/>
          <w:sz w:val="20"/>
        </w:rPr>
        <w:t> </w:t>
      </w:r>
      <w:r>
        <w:rPr>
          <w:color w:val="1C1C1C"/>
          <w:sz w:val="20"/>
        </w:rPr>
        <w:t>Meeting.</w:t>
      </w:r>
    </w:p>
    <w:p>
      <w:pPr>
        <w:pStyle w:val="BodyText"/>
        <w:spacing w:before="10"/>
      </w:pPr>
    </w:p>
    <w:p>
      <w:pPr>
        <w:pStyle w:val="ListParagraph"/>
        <w:numPr>
          <w:ilvl w:val="0"/>
          <w:numId w:val="10"/>
        </w:numPr>
        <w:tabs>
          <w:tab w:pos="839" w:val="left" w:leader="none"/>
          <w:tab w:pos="841" w:val="left" w:leader="none"/>
        </w:tabs>
        <w:spacing w:line="240" w:lineRule="auto" w:before="0" w:after="0"/>
        <w:ind w:left="840" w:right="0" w:hanging="721"/>
        <w:jc w:val="left"/>
        <w:rPr>
          <w:b/>
          <w:sz w:val="20"/>
        </w:rPr>
      </w:pPr>
      <w:r>
        <w:rPr>
          <w:b/>
          <w:color w:val="1C1C1C"/>
          <w:sz w:val="20"/>
          <w:u w:val="thick" w:color="1C1C1C"/>
        </w:rPr>
        <w:t>Bad</w:t>
      </w:r>
      <w:r>
        <w:rPr>
          <w:b/>
          <w:color w:val="1C1C1C"/>
          <w:spacing w:val="-1"/>
          <w:sz w:val="20"/>
          <w:u w:val="thick" w:color="1C1C1C"/>
        </w:rPr>
        <w:t> </w:t>
      </w:r>
      <w:r>
        <w:rPr>
          <w:b/>
          <w:color w:val="1C1C1C"/>
          <w:sz w:val="20"/>
          <w:u w:val="thick" w:color="1C1C1C"/>
        </w:rPr>
        <w:t>Faith</w:t>
      </w:r>
    </w:p>
    <w:p>
      <w:pPr>
        <w:pStyle w:val="BodyText"/>
        <w:spacing w:before="8"/>
        <w:rPr>
          <w:b/>
          <w:sz w:val="22"/>
        </w:rPr>
      </w:pPr>
    </w:p>
    <w:p>
      <w:pPr>
        <w:pStyle w:val="ListParagraph"/>
        <w:numPr>
          <w:ilvl w:val="0"/>
          <w:numId w:val="11"/>
        </w:numPr>
        <w:tabs>
          <w:tab w:pos="841" w:val="left" w:leader="none"/>
        </w:tabs>
        <w:spacing w:line="360" w:lineRule="auto" w:before="94" w:after="0"/>
        <w:ind w:left="840" w:right="1196" w:hanging="721"/>
        <w:jc w:val="both"/>
        <w:rPr>
          <w:color w:val="1C1C1C"/>
          <w:sz w:val="20"/>
        </w:rPr>
      </w:pPr>
      <w:r>
        <w:rPr>
          <w:color w:val="1C1C1C"/>
          <w:sz w:val="20"/>
        </w:rPr>
        <w:t>I am advised by Rowan, and verily believe, that the new GSFC MD has admitted that GSFC has control of the KRN Board, with two (2) of the three(3) seats, and is in no hurry to do anything to change the status</w:t>
      </w:r>
      <w:r>
        <w:rPr>
          <w:color w:val="1C1C1C"/>
          <w:spacing w:val="-4"/>
          <w:sz w:val="20"/>
        </w:rPr>
        <w:t> </w:t>
      </w:r>
      <w:r>
        <w:rPr>
          <w:color w:val="1C1C1C"/>
          <w:sz w:val="20"/>
        </w:rPr>
        <w:t>quo.</w:t>
      </w:r>
    </w:p>
    <w:p>
      <w:pPr>
        <w:pStyle w:val="BodyText"/>
        <w:spacing w:before="10"/>
      </w:pPr>
    </w:p>
    <w:p>
      <w:pPr>
        <w:pStyle w:val="ListParagraph"/>
        <w:numPr>
          <w:ilvl w:val="0"/>
          <w:numId w:val="11"/>
        </w:numPr>
        <w:tabs>
          <w:tab w:pos="841" w:val="left" w:leader="none"/>
        </w:tabs>
        <w:spacing w:line="360" w:lineRule="auto" w:before="1" w:after="0"/>
        <w:ind w:left="840" w:right="1197" w:hanging="721"/>
        <w:jc w:val="both"/>
        <w:rPr>
          <w:color w:val="1C1C1C"/>
          <w:sz w:val="20"/>
        </w:rPr>
      </w:pPr>
      <w:r>
        <w:rPr>
          <w:color w:val="1C1C1C"/>
          <w:sz w:val="20"/>
        </w:rPr>
        <w:t>I verily believe that the conduct of GSFC, the GSFC Nominees, and the KRN Board in proceeding with the Special</w:t>
      </w:r>
      <w:r>
        <w:rPr>
          <w:color w:val="1C1C1C"/>
          <w:spacing w:val="-4"/>
          <w:sz w:val="20"/>
        </w:rPr>
        <w:t> </w:t>
      </w:r>
      <w:r>
        <w:rPr>
          <w:color w:val="1C1C1C"/>
          <w:sz w:val="20"/>
        </w:rPr>
        <w:t>Meeting:</w:t>
      </w:r>
    </w:p>
    <w:p>
      <w:pPr>
        <w:pStyle w:val="BodyText"/>
        <w:spacing w:before="11"/>
      </w:pPr>
    </w:p>
    <w:p>
      <w:pPr>
        <w:pStyle w:val="ListParagraph"/>
        <w:numPr>
          <w:ilvl w:val="1"/>
          <w:numId w:val="11"/>
        </w:numPr>
        <w:tabs>
          <w:tab w:pos="1559" w:val="left" w:leader="none"/>
          <w:tab w:pos="1561" w:val="left" w:leader="none"/>
        </w:tabs>
        <w:spacing w:line="240" w:lineRule="auto" w:before="0" w:after="0"/>
        <w:ind w:left="1560" w:right="0" w:hanging="721"/>
        <w:jc w:val="left"/>
        <w:rPr>
          <w:rFonts w:ascii="Symbol" w:hAnsi="Symbol"/>
          <w:sz w:val="20"/>
        </w:rPr>
      </w:pPr>
      <w:r>
        <w:rPr>
          <w:color w:val="1C1C1C"/>
          <w:sz w:val="20"/>
        </w:rPr>
        <w:t>is further evidence</w:t>
      </w:r>
      <w:r>
        <w:rPr>
          <w:color w:val="1C1C1C"/>
          <w:spacing w:val="-2"/>
          <w:sz w:val="20"/>
        </w:rPr>
        <w:t> </w:t>
      </w:r>
      <w:r>
        <w:rPr>
          <w:color w:val="1C1C1C"/>
          <w:sz w:val="20"/>
        </w:rPr>
        <w:t>of:</w:t>
      </w:r>
    </w:p>
    <w:p>
      <w:pPr>
        <w:pStyle w:val="BodyText"/>
        <w:rPr>
          <w:sz w:val="24"/>
        </w:rPr>
      </w:pPr>
    </w:p>
    <w:p>
      <w:pPr>
        <w:pStyle w:val="ListParagraph"/>
        <w:numPr>
          <w:ilvl w:val="2"/>
          <w:numId w:val="11"/>
        </w:numPr>
        <w:tabs>
          <w:tab w:pos="2280" w:val="left" w:leader="none"/>
          <w:tab w:pos="2281" w:val="left" w:leader="none"/>
        </w:tabs>
        <w:spacing w:line="240" w:lineRule="auto" w:before="182" w:after="0"/>
        <w:ind w:left="2280" w:right="0" w:hanging="721"/>
        <w:jc w:val="left"/>
        <w:rPr>
          <w:sz w:val="20"/>
        </w:rPr>
      </w:pPr>
      <w:r>
        <w:rPr>
          <w:color w:val="1C1C1C"/>
          <w:sz w:val="20"/>
        </w:rPr>
        <w:t>the continuation of a shameless power grab by GSFC and the GSFC</w:t>
      </w:r>
      <w:r>
        <w:rPr>
          <w:color w:val="1C1C1C"/>
          <w:spacing w:val="-14"/>
          <w:sz w:val="20"/>
        </w:rPr>
        <w:t> </w:t>
      </w:r>
      <w:r>
        <w:rPr>
          <w:color w:val="1C1C1C"/>
          <w:sz w:val="20"/>
        </w:rPr>
        <w:t>Nominees;</w:t>
      </w:r>
    </w:p>
    <w:p>
      <w:pPr>
        <w:pStyle w:val="BodyText"/>
        <w:spacing w:before="9"/>
        <w:rPr>
          <w:sz w:val="29"/>
        </w:rPr>
      </w:pPr>
    </w:p>
    <w:p>
      <w:pPr>
        <w:pStyle w:val="ListParagraph"/>
        <w:numPr>
          <w:ilvl w:val="2"/>
          <w:numId w:val="11"/>
        </w:numPr>
        <w:tabs>
          <w:tab w:pos="2280" w:val="left" w:leader="none"/>
          <w:tab w:pos="2281" w:val="left" w:leader="none"/>
        </w:tabs>
        <w:spacing w:line="240" w:lineRule="auto" w:before="1" w:after="0"/>
        <w:ind w:left="2280" w:right="0" w:hanging="721"/>
        <w:jc w:val="left"/>
        <w:rPr>
          <w:sz w:val="20"/>
        </w:rPr>
      </w:pPr>
      <w:r>
        <w:rPr>
          <w:color w:val="1C1C1C"/>
          <w:sz w:val="20"/>
        </w:rPr>
        <w:t>GSFC’s absolute control of KRN and the KRN Board for the past two (2)</w:t>
      </w:r>
      <w:r>
        <w:rPr>
          <w:color w:val="1C1C1C"/>
          <w:spacing w:val="-17"/>
          <w:sz w:val="20"/>
        </w:rPr>
        <w:t> </w:t>
      </w:r>
      <w:r>
        <w:rPr>
          <w:color w:val="1C1C1C"/>
          <w:sz w:val="20"/>
        </w:rPr>
        <w:t>years;</w:t>
      </w:r>
    </w:p>
    <w:p>
      <w:pPr>
        <w:pStyle w:val="BodyText"/>
        <w:rPr>
          <w:sz w:val="24"/>
        </w:rPr>
      </w:pPr>
    </w:p>
    <w:p>
      <w:pPr>
        <w:pStyle w:val="ListParagraph"/>
        <w:numPr>
          <w:ilvl w:val="2"/>
          <w:numId w:val="11"/>
        </w:numPr>
        <w:tabs>
          <w:tab w:pos="2280" w:val="left" w:leader="none"/>
          <w:tab w:pos="2281" w:val="left" w:leader="none"/>
        </w:tabs>
        <w:spacing w:line="350" w:lineRule="auto" w:before="183" w:after="0"/>
        <w:ind w:left="2280" w:right="1196" w:hanging="721"/>
        <w:jc w:val="left"/>
        <w:rPr>
          <w:sz w:val="20"/>
        </w:rPr>
      </w:pPr>
      <w:r>
        <w:rPr>
          <w:color w:val="1C1C1C"/>
          <w:sz w:val="20"/>
        </w:rPr>
        <w:t>GSFC’s</w:t>
      </w:r>
      <w:r>
        <w:rPr>
          <w:color w:val="1C1C1C"/>
          <w:spacing w:val="-12"/>
          <w:sz w:val="20"/>
        </w:rPr>
        <w:t> </w:t>
      </w:r>
      <w:r>
        <w:rPr>
          <w:color w:val="1C1C1C"/>
          <w:sz w:val="20"/>
        </w:rPr>
        <w:t>and</w:t>
      </w:r>
      <w:r>
        <w:rPr>
          <w:color w:val="1C1C1C"/>
          <w:spacing w:val="-11"/>
          <w:sz w:val="20"/>
        </w:rPr>
        <w:t> </w:t>
      </w:r>
      <w:r>
        <w:rPr>
          <w:color w:val="1C1C1C"/>
          <w:sz w:val="20"/>
        </w:rPr>
        <w:t>the</w:t>
      </w:r>
      <w:r>
        <w:rPr>
          <w:color w:val="1C1C1C"/>
          <w:spacing w:val="-12"/>
          <w:sz w:val="20"/>
        </w:rPr>
        <w:t> </w:t>
      </w:r>
      <w:r>
        <w:rPr>
          <w:color w:val="1C1C1C"/>
          <w:sz w:val="20"/>
        </w:rPr>
        <w:t>GSFC</w:t>
      </w:r>
      <w:r>
        <w:rPr>
          <w:color w:val="1C1C1C"/>
          <w:spacing w:val="-11"/>
          <w:sz w:val="20"/>
        </w:rPr>
        <w:t> </w:t>
      </w:r>
      <w:r>
        <w:rPr>
          <w:color w:val="1C1C1C"/>
          <w:sz w:val="20"/>
        </w:rPr>
        <w:t>Nominees’</w:t>
      </w:r>
      <w:r>
        <w:rPr>
          <w:color w:val="1C1C1C"/>
          <w:spacing w:val="-12"/>
          <w:sz w:val="20"/>
        </w:rPr>
        <w:t> </w:t>
      </w:r>
      <w:r>
        <w:rPr>
          <w:color w:val="1C1C1C"/>
          <w:sz w:val="20"/>
        </w:rPr>
        <w:t>desire</w:t>
      </w:r>
      <w:r>
        <w:rPr>
          <w:color w:val="1C1C1C"/>
          <w:spacing w:val="-12"/>
          <w:sz w:val="20"/>
        </w:rPr>
        <w:t> </w:t>
      </w:r>
      <w:r>
        <w:rPr>
          <w:color w:val="1C1C1C"/>
          <w:sz w:val="20"/>
        </w:rPr>
        <w:t>to</w:t>
      </w:r>
      <w:r>
        <w:rPr>
          <w:color w:val="1C1C1C"/>
          <w:spacing w:val="-11"/>
          <w:sz w:val="20"/>
        </w:rPr>
        <w:t> </w:t>
      </w:r>
      <w:r>
        <w:rPr>
          <w:color w:val="1C1C1C"/>
          <w:sz w:val="20"/>
        </w:rPr>
        <w:t>hold</w:t>
      </w:r>
      <w:r>
        <w:rPr>
          <w:color w:val="1C1C1C"/>
          <w:spacing w:val="-12"/>
          <w:sz w:val="20"/>
        </w:rPr>
        <w:t> </w:t>
      </w:r>
      <w:r>
        <w:rPr>
          <w:color w:val="1C1C1C"/>
          <w:sz w:val="20"/>
        </w:rPr>
        <w:t>on</w:t>
      </w:r>
      <w:r>
        <w:rPr>
          <w:color w:val="1C1C1C"/>
          <w:spacing w:val="-11"/>
          <w:sz w:val="20"/>
        </w:rPr>
        <w:t> </w:t>
      </w:r>
      <w:r>
        <w:rPr>
          <w:color w:val="1C1C1C"/>
          <w:sz w:val="20"/>
        </w:rPr>
        <w:t>to</w:t>
      </w:r>
      <w:r>
        <w:rPr>
          <w:color w:val="1C1C1C"/>
          <w:spacing w:val="-12"/>
          <w:sz w:val="20"/>
        </w:rPr>
        <w:t> </w:t>
      </w:r>
      <w:r>
        <w:rPr>
          <w:color w:val="1C1C1C"/>
          <w:sz w:val="20"/>
        </w:rPr>
        <w:t>control</w:t>
      </w:r>
      <w:r>
        <w:rPr>
          <w:color w:val="1C1C1C"/>
          <w:spacing w:val="-13"/>
          <w:sz w:val="20"/>
        </w:rPr>
        <w:t> </w:t>
      </w:r>
      <w:r>
        <w:rPr>
          <w:color w:val="1C1C1C"/>
          <w:sz w:val="20"/>
        </w:rPr>
        <w:t>of</w:t>
      </w:r>
      <w:r>
        <w:rPr>
          <w:color w:val="1C1C1C"/>
          <w:spacing w:val="-12"/>
          <w:sz w:val="20"/>
        </w:rPr>
        <w:t> </w:t>
      </w:r>
      <w:r>
        <w:rPr>
          <w:color w:val="1C1C1C"/>
          <w:sz w:val="20"/>
        </w:rPr>
        <w:t>KRN</w:t>
      </w:r>
      <w:r>
        <w:rPr>
          <w:color w:val="1C1C1C"/>
          <w:spacing w:val="-12"/>
          <w:sz w:val="20"/>
        </w:rPr>
        <w:t> </w:t>
      </w:r>
      <w:r>
        <w:rPr>
          <w:color w:val="1C1C1C"/>
          <w:sz w:val="20"/>
        </w:rPr>
        <w:t>and</w:t>
      </w:r>
      <w:r>
        <w:rPr>
          <w:color w:val="1C1C1C"/>
          <w:spacing w:val="-11"/>
          <w:sz w:val="20"/>
        </w:rPr>
        <w:t> </w:t>
      </w:r>
      <w:r>
        <w:rPr>
          <w:color w:val="1C1C1C"/>
          <w:sz w:val="20"/>
        </w:rPr>
        <w:t>the</w:t>
      </w:r>
      <w:r>
        <w:rPr>
          <w:color w:val="1C1C1C"/>
          <w:spacing w:val="-11"/>
          <w:sz w:val="20"/>
        </w:rPr>
        <w:t> </w:t>
      </w:r>
      <w:r>
        <w:rPr>
          <w:color w:val="1C1C1C"/>
          <w:sz w:val="20"/>
        </w:rPr>
        <w:t>KRN Board by any means, and at any</w:t>
      </w:r>
      <w:r>
        <w:rPr>
          <w:color w:val="1C1C1C"/>
          <w:spacing w:val="-6"/>
          <w:sz w:val="20"/>
        </w:rPr>
        <w:t> </w:t>
      </w:r>
      <w:r>
        <w:rPr>
          <w:color w:val="1C1C1C"/>
          <w:sz w:val="20"/>
        </w:rPr>
        <w:t>cost;</w:t>
      </w:r>
    </w:p>
    <w:p>
      <w:pPr>
        <w:pStyle w:val="BodyText"/>
        <w:spacing w:before="9"/>
      </w:pPr>
    </w:p>
    <w:p>
      <w:pPr>
        <w:pStyle w:val="ListParagraph"/>
        <w:numPr>
          <w:ilvl w:val="2"/>
          <w:numId w:val="11"/>
        </w:numPr>
        <w:tabs>
          <w:tab w:pos="2280" w:val="left" w:leader="none"/>
          <w:tab w:pos="2281" w:val="left" w:leader="none"/>
        </w:tabs>
        <w:spacing w:line="350" w:lineRule="auto" w:before="0" w:after="0"/>
        <w:ind w:left="2280" w:right="1196" w:hanging="721"/>
        <w:jc w:val="left"/>
        <w:rPr>
          <w:sz w:val="20"/>
        </w:rPr>
      </w:pPr>
      <w:r>
        <w:rPr>
          <w:color w:val="1C1C1C"/>
          <w:sz w:val="20"/>
        </w:rPr>
        <w:t>GSFC’s and the GSFC Nominees’ arrogance, bad faith and total disregard for Canadian busines practice, Securities Laws and TSX;</w:t>
      </w:r>
      <w:r>
        <w:rPr>
          <w:color w:val="1C1C1C"/>
          <w:spacing w:val="-8"/>
          <w:sz w:val="20"/>
        </w:rPr>
        <w:t> </w:t>
      </w:r>
      <w:r>
        <w:rPr>
          <w:color w:val="1C1C1C"/>
          <w:sz w:val="20"/>
        </w:rPr>
        <w:t>and</w:t>
      </w:r>
    </w:p>
    <w:p>
      <w:pPr>
        <w:pStyle w:val="BodyText"/>
        <w:spacing w:before="10"/>
      </w:pPr>
    </w:p>
    <w:p>
      <w:pPr>
        <w:pStyle w:val="ListParagraph"/>
        <w:numPr>
          <w:ilvl w:val="2"/>
          <w:numId w:val="11"/>
        </w:numPr>
        <w:tabs>
          <w:tab w:pos="2280" w:val="left" w:leader="none"/>
          <w:tab w:pos="2281" w:val="left" w:leader="none"/>
        </w:tabs>
        <w:spacing w:line="240" w:lineRule="auto" w:before="1" w:after="0"/>
        <w:ind w:left="2280" w:right="0" w:hanging="721"/>
        <w:jc w:val="left"/>
        <w:rPr>
          <w:sz w:val="20"/>
        </w:rPr>
      </w:pPr>
      <w:r>
        <w:rPr>
          <w:color w:val="1C1C1C"/>
          <w:sz w:val="20"/>
        </w:rPr>
        <w:t>their continuing entrenchment on the KRN Board;</w:t>
      </w:r>
      <w:r>
        <w:rPr>
          <w:color w:val="1C1C1C"/>
          <w:spacing w:val="-7"/>
          <w:sz w:val="20"/>
        </w:rPr>
        <w:t> </w:t>
      </w:r>
      <w:r>
        <w:rPr>
          <w:color w:val="1C1C1C"/>
          <w:sz w:val="20"/>
        </w:rPr>
        <w:t>and</w:t>
      </w:r>
    </w:p>
    <w:p>
      <w:pPr>
        <w:pStyle w:val="BodyText"/>
        <w:spacing w:before="10"/>
        <w:rPr>
          <w:sz w:val="29"/>
        </w:rPr>
      </w:pPr>
    </w:p>
    <w:p>
      <w:pPr>
        <w:pStyle w:val="ListParagraph"/>
        <w:numPr>
          <w:ilvl w:val="1"/>
          <w:numId w:val="11"/>
        </w:numPr>
        <w:tabs>
          <w:tab w:pos="1560" w:val="left" w:leader="none"/>
          <w:tab w:pos="1561" w:val="left" w:leader="none"/>
        </w:tabs>
        <w:spacing w:line="350" w:lineRule="auto" w:before="1" w:after="0"/>
        <w:ind w:left="1560" w:right="1196" w:hanging="721"/>
        <w:jc w:val="left"/>
        <w:rPr>
          <w:rFonts w:ascii="Symbol" w:hAnsi="Symbol"/>
          <w:sz w:val="20"/>
        </w:rPr>
      </w:pPr>
      <w:r>
        <w:rPr>
          <w:color w:val="1C1C1C"/>
          <w:sz w:val="20"/>
        </w:rPr>
        <w:t>constitutes a clear breach of their legal and fiduciary duties to act honestly, with integrity, and</w:t>
      </w:r>
      <w:r>
        <w:rPr>
          <w:color w:val="1C1C1C"/>
          <w:spacing w:val="-12"/>
          <w:sz w:val="20"/>
        </w:rPr>
        <w:t> </w:t>
      </w:r>
      <w:r>
        <w:rPr>
          <w:color w:val="1C1C1C"/>
          <w:sz w:val="20"/>
        </w:rPr>
        <w:t>in</w:t>
      </w:r>
      <w:r>
        <w:rPr>
          <w:color w:val="1C1C1C"/>
          <w:spacing w:val="-12"/>
          <w:sz w:val="20"/>
        </w:rPr>
        <w:t> </w:t>
      </w:r>
      <w:r>
        <w:rPr>
          <w:color w:val="1C1C1C"/>
          <w:sz w:val="20"/>
        </w:rPr>
        <w:t>the</w:t>
      </w:r>
      <w:r>
        <w:rPr>
          <w:color w:val="1C1C1C"/>
          <w:spacing w:val="-12"/>
          <w:sz w:val="20"/>
        </w:rPr>
        <w:t> </w:t>
      </w:r>
      <w:r>
        <w:rPr>
          <w:color w:val="1C1C1C"/>
          <w:sz w:val="20"/>
        </w:rPr>
        <w:t>best</w:t>
      </w:r>
      <w:r>
        <w:rPr>
          <w:color w:val="1C1C1C"/>
          <w:spacing w:val="-13"/>
          <w:sz w:val="20"/>
        </w:rPr>
        <w:t> </w:t>
      </w:r>
      <w:r>
        <w:rPr>
          <w:color w:val="1C1C1C"/>
          <w:sz w:val="20"/>
        </w:rPr>
        <w:t>interests</w:t>
      </w:r>
      <w:r>
        <w:rPr>
          <w:color w:val="1C1C1C"/>
          <w:spacing w:val="-12"/>
          <w:sz w:val="20"/>
        </w:rPr>
        <w:t> </w:t>
      </w:r>
      <w:r>
        <w:rPr>
          <w:color w:val="1C1C1C"/>
          <w:sz w:val="20"/>
        </w:rPr>
        <w:t>of</w:t>
      </w:r>
      <w:r>
        <w:rPr>
          <w:color w:val="1C1C1C"/>
          <w:spacing w:val="-14"/>
          <w:sz w:val="20"/>
        </w:rPr>
        <w:t> </w:t>
      </w:r>
      <w:r>
        <w:rPr>
          <w:color w:val="1C1C1C"/>
          <w:sz w:val="20"/>
        </w:rPr>
        <w:t>all</w:t>
      </w:r>
      <w:r>
        <w:rPr>
          <w:color w:val="1C1C1C"/>
          <w:spacing w:val="-12"/>
          <w:sz w:val="20"/>
        </w:rPr>
        <w:t> </w:t>
      </w:r>
      <w:r>
        <w:rPr>
          <w:color w:val="1C1C1C"/>
          <w:sz w:val="20"/>
        </w:rPr>
        <w:t>KRN</w:t>
      </w:r>
      <w:r>
        <w:rPr>
          <w:color w:val="1C1C1C"/>
          <w:spacing w:val="-12"/>
          <w:sz w:val="20"/>
        </w:rPr>
        <w:t> </w:t>
      </w:r>
      <w:r>
        <w:rPr>
          <w:color w:val="1C1C1C"/>
          <w:sz w:val="20"/>
        </w:rPr>
        <w:t>Shareholders,</w:t>
      </w:r>
      <w:r>
        <w:rPr>
          <w:color w:val="1C1C1C"/>
          <w:spacing w:val="-14"/>
          <w:sz w:val="20"/>
        </w:rPr>
        <w:t> </w:t>
      </w:r>
      <w:r>
        <w:rPr>
          <w:color w:val="1C1C1C"/>
          <w:sz w:val="20"/>
        </w:rPr>
        <w:t>rather</w:t>
      </w:r>
      <w:r>
        <w:rPr>
          <w:color w:val="1C1C1C"/>
          <w:spacing w:val="-12"/>
          <w:sz w:val="20"/>
        </w:rPr>
        <w:t> </w:t>
      </w:r>
      <w:r>
        <w:rPr>
          <w:color w:val="1C1C1C"/>
          <w:sz w:val="20"/>
        </w:rPr>
        <w:t>than</w:t>
      </w:r>
      <w:r>
        <w:rPr>
          <w:color w:val="1C1C1C"/>
          <w:spacing w:val="-12"/>
          <w:sz w:val="20"/>
        </w:rPr>
        <w:t> </w:t>
      </w:r>
      <w:r>
        <w:rPr>
          <w:color w:val="1C1C1C"/>
          <w:sz w:val="20"/>
        </w:rPr>
        <w:t>in</w:t>
      </w:r>
      <w:r>
        <w:rPr>
          <w:color w:val="1C1C1C"/>
          <w:spacing w:val="-12"/>
          <w:sz w:val="20"/>
        </w:rPr>
        <w:t> </w:t>
      </w:r>
      <w:r>
        <w:rPr>
          <w:color w:val="1C1C1C"/>
          <w:sz w:val="20"/>
        </w:rPr>
        <w:t>the</w:t>
      </w:r>
      <w:r>
        <w:rPr>
          <w:color w:val="1C1C1C"/>
          <w:spacing w:val="-13"/>
          <w:sz w:val="20"/>
        </w:rPr>
        <w:t> </w:t>
      </w:r>
      <w:r>
        <w:rPr>
          <w:color w:val="1C1C1C"/>
          <w:sz w:val="20"/>
        </w:rPr>
        <w:t>best</w:t>
      </w:r>
      <w:r>
        <w:rPr>
          <w:color w:val="1C1C1C"/>
          <w:spacing w:val="-12"/>
          <w:sz w:val="20"/>
        </w:rPr>
        <w:t> </w:t>
      </w:r>
      <w:r>
        <w:rPr>
          <w:color w:val="1C1C1C"/>
          <w:sz w:val="20"/>
        </w:rPr>
        <w:t>interests</w:t>
      </w:r>
      <w:r>
        <w:rPr>
          <w:color w:val="1C1C1C"/>
          <w:spacing w:val="-12"/>
          <w:sz w:val="20"/>
        </w:rPr>
        <w:t> </w:t>
      </w:r>
      <w:r>
        <w:rPr>
          <w:color w:val="1C1C1C"/>
          <w:sz w:val="20"/>
        </w:rPr>
        <w:t>of</w:t>
      </w:r>
      <w:r>
        <w:rPr>
          <w:color w:val="1C1C1C"/>
          <w:spacing w:val="-13"/>
          <w:sz w:val="20"/>
        </w:rPr>
        <w:t> </w:t>
      </w:r>
      <w:r>
        <w:rPr>
          <w:color w:val="1C1C1C"/>
          <w:sz w:val="20"/>
        </w:rPr>
        <w:t>GSFC.</w:t>
      </w:r>
    </w:p>
    <w:p>
      <w:pPr>
        <w:pStyle w:val="BodyText"/>
        <w:spacing w:before="7"/>
        <w:rPr>
          <w:sz w:val="21"/>
        </w:rPr>
      </w:pPr>
    </w:p>
    <w:p>
      <w:pPr>
        <w:pStyle w:val="Heading1"/>
        <w:ind w:left="120" w:firstLine="0"/>
        <w:rPr>
          <w:u w:val="none"/>
        </w:rPr>
      </w:pPr>
      <w:r>
        <w:rPr>
          <w:u w:val="none"/>
        </w:rPr>
        <w:t>Special Meeting Results Illustrate Shareholders’ Frustration</w:t>
      </w:r>
    </w:p>
    <w:p>
      <w:pPr>
        <w:pStyle w:val="BodyText"/>
        <w:spacing w:before="9"/>
        <w:rPr>
          <w:b/>
          <w:sz w:val="30"/>
        </w:rPr>
      </w:pPr>
    </w:p>
    <w:p>
      <w:pPr>
        <w:pStyle w:val="ListParagraph"/>
        <w:numPr>
          <w:ilvl w:val="0"/>
          <w:numId w:val="11"/>
        </w:numPr>
        <w:tabs>
          <w:tab w:pos="841" w:val="left" w:leader="none"/>
        </w:tabs>
        <w:spacing w:line="360" w:lineRule="auto" w:before="0" w:after="0"/>
        <w:ind w:left="840" w:right="1196" w:hanging="721"/>
        <w:jc w:val="both"/>
        <w:rPr>
          <w:sz w:val="20"/>
        </w:rPr>
      </w:pPr>
      <w:r>
        <w:rPr>
          <w:sz w:val="20"/>
        </w:rPr>
        <w:t>I verily believe that the voting results of the Special Meeting reveal that a vast majority of the 62% of shareholders of KRN that aren’t GSFC, support the position of the Concerned</w:t>
      </w:r>
      <w:r>
        <w:rPr>
          <w:spacing w:val="-28"/>
          <w:sz w:val="20"/>
        </w:rPr>
        <w:t> </w:t>
      </w:r>
      <w:r>
        <w:rPr>
          <w:sz w:val="20"/>
        </w:rPr>
        <w:t>Shareholders.</w:t>
      </w:r>
    </w:p>
    <w:p>
      <w:pPr>
        <w:pStyle w:val="BodyText"/>
        <w:spacing w:before="10"/>
      </w:pPr>
    </w:p>
    <w:p>
      <w:pPr>
        <w:pStyle w:val="ListParagraph"/>
        <w:numPr>
          <w:ilvl w:val="0"/>
          <w:numId w:val="11"/>
        </w:numPr>
        <w:tabs>
          <w:tab w:pos="841" w:val="left" w:leader="none"/>
        </w:tabs>
        <w:spacing w:line="360" w:lineRule="auto" w:before="0" w:after="0"/>
        <w:ind w:left="840" w:right="1197" w:hanging="721"/>
        <w:jc w:val="both"/>
        <w:rPr>
          <w:sz w:val="20"/>
        </w:rPr>
      </w:pPr>
      <w:r>
        <w:rPr>
          <w:sz w:val="20"/>
        </w:rPr>
        <w:t>The </w:t>
      </w:r>
      <w:r>
        <w:rPr>
          <w:color w:val="1C1C1C"/>
          <w:sz w:val="20"/>
        </w:rPr>
        <w:t>votes on Resolution 1 were 7,347,209 in favor, and 19,475,723 against. </w:t>
      </w:r>
      <w:r>
        <w:rPr>
          <w:sz w:val="20"/>
        </w:rPr>
        <w:t>I verily believe that it is very telling that i</w:t>
      </w:r>
      <w:r>
        <w:rPr>
          <w:color w:val="1C1C1C"/>
          <w:sz w:val="20"/>
        </w:rPr>
        <w:t>f GSFC’s votes are removed from the total,</w:t>
      </w:r>
      <w:r>
        <w:rPr>
          <w:color w:val="1C1C1C"/>
          <w:spacing w:val="-12"/>
          <w:sz w:val="20"/>
        </w:rPr>
        <w:t> </w:t>
      </w:r>
      <w:r>
        <w:rPr>
          <w:color w:val="1C1C1C"/>
          <w:sz w:val="20"/>
        </w:rPr>
        <w:t>then:</w:t>
      </w:r>
    </w:p>
    <w:p>
      <w:pPr>
        <w:pStyle w:val="BodyText"/>
        <w:rPr>
          <w:sz w:val="21"/>
        </w:rPr>
      </w:pPr>
    </w:p>
    <w:p>
      <w:pPr>
        <w:pStyle w:val="ListParagraph"/>
        <w:numPr>
          <w:ilvl w:val="1"/>
          <w:numId w:val="11"/>
        </w:numPr>
        <w:tabs>
          <w:tab w:pos="1560" w:val="left" w:leader="none"/>
          <w:tab w:pos="1561" w:val="left" w:leader="none"/>
        </w:tabs>
        <w:spacing w:line="240" w:lineRule="auto" w:before="0" w:after="0"/>
        <w:ind w:left="1560" w:right="0" w:hanging="721"/>
        <w:jc w:val="left"/>
        <w:rPr>
          <w:rFonts w:ascii="Symbol" w:hAnsi="Symbol"/>
          <w:sz w:val="20"/>
        </w:rPr>
      </w:pPr>
      <w:r>
        <w:rPr>
          <w:color w:val="1C1C1C"/>
          <w:sz w:val="20"/>
        </w:rPr>
        <w:t>the votes would have been 7,347,209 in favor, and 3,141,165 against;</w:t>
      </w:r>
      <w:r>
        <w:rPr>
          <w:color w:val="1C1C1C"/>
          <w:spacing w:val="-14"/>
          <w:sz w:val="20"/>
        </w:rPr>
        <w:t> </w:t>
      </w:r>
      <w:r>
        <w:rPr>
          <w:color w:val="1C1C1C"/>
          <w:sz w:val="20"/>
        </w:rPr>
        <w:t>and</w:t>
      </w:r>
    </w:p>
    <w:p>
      <w:pPr>
        <w:pStyle w:val="BodyText"/>
        <w:spacing w:before="9"/>
        <w:rPr>
          <w:sz w:val="30"/>
        </w:rPr>
      </w:pPr>
    </w:p>
    <w:p>
      <w:pPr>
        <w:pStyle w:val="ListParagraph"/>
        <w:numPr>
          <w:ilvl w:val="1"/>
          <w:numId w:val="11"/>
        </w:numPr>
        <w:tabs>
          <w:tab w:pos="1560" w:val="left" w:leader="none"/>
          <w:tab w:pos="1561" w:val="left" w:leader="none"/>
        </w:tabs>
        <w:spacing w:line="350" w:lineRule="auto" w:before="0" w:after="0"/>
        <w:ind w:left="1560" w:right="1356" w:hanging="721"/>
        <w:jc w:val="left"/>
        <w:rPr>
          <w:rFonts w:ascii="Symbol" w:hAnsi="Symbol"/>
          <w:color w:val="1C1C1C"/>
          <w:sz w:val="20"/>
        </w:rPr>
      </w:pPr>
      <w:r>
        <w:rPr>
          <w:color w:val="1C1C1C"/>
          <w:sz w:val="20"/>
        </w:rPr>
        <w:t>the KRN Shareholders would have voted against Resolution 1 by a margin of more than two and a half (2½) times to</w:t>
      </w:r>
      <w:r>
        <w:rPr>
          <w:color w:val="1C1C1C"/>
          <w:spacing w:val="-7"/>
          <w:sz w:val="20"/>
        </w:rPr>
        <w:t> </w:t>
      </w:r>
      <w:r>
        <w:rPr>
          <w:color w:val="1C1C1C"/>
          <w:sz w:val="20"/>
        </w:rPr>
        <w:t>one.</w:t>
      </w:r>
    </w:p>
    <w:p>
      <w:pPr>
        <w:spacing w:after="0" w:line="350" w:lineRule="auto"/>
        <w:jc w:val="left"/>
        <w:rPr>
          <w:rFonts w:ascii="Symbol" w:hAnsi="Symbol"/>
          <w:sz w:val="20"/>
        </w:rPr>
        <w:sectPr>
          <w:footerReference w:type="default" r:id="rId14"/>
          <w:pgSz w:w="12240" w:h="15840"/>
          <w:pgMar w:footer="1011" w:header="0" w:top="1220" w:bottom="1200" w:left="1320" w:right="240"/>
          <w:pgNumType w:start="27"/>
        </w:sectPr>
      </w:pPr>
    </w:p>
    <w:p>
      <w:pPr>
        <w:pStyle w:val="ListParagraph"/>
        <w:numPr>
          <w:ilvl w:val="0"/>
          <w:numId w:val="11"/>
        </w:numPr>
        <w:tabs>
          <w:tab w:pos="841" w:val="left" w:leader="none"/>
        </w:tabs>
        <w:spacing w:line="360" w:lineRule="auto" w:before="75" w:after="0"/>
        <w:ind w:left="840" w:right="1199" w:hanging="721"/>
        <w:jc w:val="both"/>
        <w:rPr>
          <w:color w:val="1C1C1C"/>
          <w:sz w:val="20"/>
        </w:rPr>
      </w:pPr>
      <w:r>
        <w:rPr>
          <w:sz w:val="20"/>
        </w:rPr>
        <w:t>I verily believe that it is also very telling that i</w:t>
      </w:r>
      <w:r>
        <w:rPr>
          <w:color w:val="1C1C1C"/>
          <w:sz w:val="20"/>
        </w:rPr>
        <w:t>f the Concerned Shareholders’ votes were also removed from the votes on Resolution 1,</w:t>
      </w:r>
      <w:r>
        <w:rPr>
          <w:color w:val="1C1C1C"/>
          <w:spacing w:val="-8"/>
          <w:sz w:val="20"/>
        </w:rPr>
        <w:t> </w:t>
      </w:r>
      <w:r>
        <w:rPr>
          <w:color w:val="1C1C1C"/>
          <w:sz w:val="20"/>
        </w:rPr>
        <w:t>then:</w:t>
      </w:r>
    </w:p>
    <w:p>
      <w:pPr>
        <w:pStyle w:val="BodyText"/>
        <w:rPr>
          <w:sz w:val="21"/>
        </w:rPr>
      </w:pPr>
    </w:p>
    <w:p>
      <w:pPr>
        <w:pStyle w:val="ListParagraph"/>
        <w:numPr>
          <w:ilvl w:val="1"/>
          <w:numId w:val="11"/>
        </w:numPr>
        <w:tabs>
          <w:tab w:pos="1559" w:val="left" w:leader="none"/>
          <w:tab w:pos="1561" w:val="left" w:leader="none"/>
        </w:tabs>
        <w:spacing w:line="240" w:lineRule="auto" w:before="0" w:after="0"/>
        <w:ind w:left="1560" w:right="0" w:hanging="721"/>
        <w:jc w:val="left"/>
        <w:rPr>
          <w:rFonts w:ascii="Symbol" w:hAnsi="Symbol"/>
          <w:sz w:val="20"/>
        </w:rPr>
      </w:pPr>
      <w:r>
        <w:rPr>
          <w:color w:val="1C1C1C"/>
          <w:sz w:val="20"/>
        </w:rPr>
        <w:t>the votes would have been 5,019,947 in favor, and 3,141,165 against;</w:t>
      </w:r>
      <w:r>
        <w:rPr>
          <w:color w:val="1C1C1C"/>
          <w:spacing w:val="-14"/>
          <w:sz w:val="20"/>
        </w:rPr>
        <w:t> </w:t>
      </w:r>
      <w:r>
        <w:rPr>
          <w:color w:val="1C1C1C"/>
          <w:sz w:val="20"/>
        </w:rPr>
        <w:t>and</w:t>
      </w:r>
    </w:p>
    <w:p>
      <w:pPr>
        <w:pStyle w:val="BodyText"/>
        <w:spacing w:before="9"/>
        <w:rPr>
          <w:sz w:val="30"/>
        </w:rPr>
      </w:pPr>
    </w:p>
    <w:p>
      <w:pPr>
        <w:pStyle w:val="ListParagraph"/>
        <w:numPr>
          <w:ilvl w:val="1"/>
          <w:numId w:val="11"/>
        </w:numPr>
        <w:tabs>
          <w:tab w:pos="1559" w:val="left" w:leader="none"/>
          <w:tab w:pos="1561" w:val="left" w:leader="none"/>
        </w:tabs>
        <w:spacing w:line="350" w:lineRule="auto" w:before="0" w:after="0"/>
        <w:ind w:left="1560" w:right="1196" w:hanging="721"/>
        <w:jc w:val="both"/>
        <w:rPr>
          <w:rFonts w:ascii="Symbol" w:hAnsi="Symbol"/>
          <w:sz w:val="20"/>
        </w:rPr>
      </w:pPr>
      <w:r>
        <w:rPr>
          <w:color w:val="1C1C1C"/>
          <w:sz w:val="20"/>
        </w:rPr>
        <w:t>the KRN Shareholders would have voted against Resolution 1 by a margin of more than one and a half (1½) times to</w:t>
      </w:r>
      <w:r>
        <w:rPr>
          <w:color w:val="1C1C1C"/>
          <w:spacing w:val="-6"/>
          <w:sz w:val="20"/>
        </w:rPr>
        <w:t> </w:t>
      </w:r>
      <w:r>
        <w:rPr>
          <w:color w:val="1C1C1C"/>
          <w:sz w:val="20"/>
        </w:rPr>
        <w:t>one.</w:t>
      </w:r>
    </w:p>
    <w:p>
      <w:pPr>
        <w:pStyle w:val="BodyText"/>
        <w:spacing w:before="7"/>
        <w:rPr>
          <w:sz w:val="21"/>
        </w:rPr>
      </w:pPr>
    </w:p>
    <w:p>
      <w:pPr>
        <w:pStyle w:val="Heading1"/>
        <w:ind w:left="120" w:firstLine="0"/>
        <w:rPr>
          <w:u w:val="none"/>
        </w:rPr>
      </w:pPr>
      <w:r>
        <w:rPr>
          <w:u w:val="none"/>
        </w:rPr>
        <w:t>No Choice but To Initiate Oppression Action</w:t>
      </w:r>
    </w:p>
    <w:p>
      <w:pPr>
        <w:pStyle w:val="BodyText"/>
        <w:spacing w:before="9"/>
        <w:rPr>
          <w:b/>
          <w:sz w:val="30"/>
        </w:rPr>
      </w:pPr>
    </w:p>
    <w:p>
      <w:pPr>
        <w:pStyle w:val="ListParagraph"/>
        <w:numPr>
          <w:ilvl w:val="0"/>
          <w:numId w:val="11"/>
        </w:numPr>
        <w:tabs>
          <w:tab w:pos="841" w:val="left" w:leader="none"/>
        </w:tabs>
        <w:spacing w:line="360" w:lineRule="auto" w:before="0" w:after="0"/>
        <w:ind w:left="840" w:right="1196" w:hanging="721"/>
        <w:jc w:val="both"/>
        <w:rPr>
          <w:sz w:val="20"/>
        </w:rPr>
      </w:pPr>
      <w:r>
        <w:rPr>
          <w:sz w:val="20"/>
        </w:rPr>
        <w:t>As an investor in KRN, my sole objective is to make money on my investment. I verily believe that since GSFC and the GSFC Nominees took control of the KRN Board in January 2019, the KRN Board and management have had no plan, and have done absolutely nothing, to advance the business of KRN to create value for all shareholders of</w:t>
      </w:r>
      <w:r>
        <w:rPr>
          <w:spacing w:val="-10"/>
          <w:sz w:val="20"/>
        </w:rPr>
        <w:t> </w:t>
      </w:r>
      <w:r>
        <w:rPr>
          <w:sz w:val="20"/>
        </w:rPr>
        <w:t>KRN.</w:t>
      </w:r>
    </w:p>
    <w:p>
      <w:pPr>
        <w:pStyle w:val="BodyText"/>
        <w:spacing w:before="11"/>
      </w:pPr>
    </w:p>
    <w:p>
      <w:pPr>
        <w:pStyle w:val="ListParagraph"/>
        <w:numPr>
          <w:ilvl w:val="0"/>
          <w:numId w:val="11"/>
        </w:numPr>
        <w:tabs>
          <w:tab w:pos="841" w:val="left" w:leader="none"/>
        </w:tabs>
        <w:spacing w:line="360" w:lineRule="auto" w:before="0" w:after="0"/>
        <w:ind w:left="840" w:right="1196" w:hanging="721"/>
        <w:jc w:val="both"/>
        <w:rPr>
          <w:sz w:val="20"/>
        </w:rPr>
      </w:pPr>
      <w:r>
        <w:rPr>
          <w:sz w:val="20"/>
        </w:rPr>
        <w:t>I verily believe that the KRN Board and management’s actions, and in particular the GSFC Nominees’ actions to ignore Canadian business practice and Canadian laws, have destroyed shareholder</w:t>
      </w:r>
      <w:r>
        <w:rPr>
          <w:spacing w:val="-1"/>
          <w:sz w:val="20"/>
        </w:rPr>
        <w:t> </w:t>
      </w:r>
      <w:r>
        <w:rPr>
          <w:sz w:val="20"/>
        </w:rPr>
        <w:t>value.</w:t>
      </w:r>
    </w:p>
    <w:p>
      <w:pPr>
        <w:pStyle w:val="BodyText"/>
        <w:spacing w:before="10"/>
      </w:pPr>
    </w:p>
    <w:p>
      <w:pPr>
        <w:pStyle w:val="ListParagraph"/>
        <w:numPr>
          <w:ilvl w:val="0"/>
          <w:numId w:val="11"/>
        </w:numPr>
        <w:tabs>
          <w:tab w:pos="841" w:val="left" w:leader="none"/>
        </w:tabs>
        <w:spacing w:line="360" w:lineRule="auto" w:before="1" w:after="0"/>
        <w:ind w:left="840" w:right="1197" w:hanging="721"/>
        <w:jc w:val="both"/>
        <w:rPr>
          <w:sz w:val="20"/>
        </w:rPr>
      </w:pPr>
      <w:r>
        <w:rPr>
          <w:sz w:val="20"/>
        </w:rPr>
        <w:t>After all of the actions taken by the Concerned Shareholders described above, to ensure the KRN Board was properly constituted with a majority of independent directors, and after the KRN Board and management recommended, in the KRN Circular for the Special Meeting, that all KRN Shareholders vote against the Concerned Shareholders’ proposal, the Concerned Shareholders felt that we had no choice but to initiate this action for</w:t>
      </w:r>
      <w:r>
        <w:rPr>
          <w:spacing w:val="-16"/>
          <w:sz w:val="20"/>
        </w:rPr>
        <w:t> </w:t>
      </w:r>
      <w:r>
        <w:rPr>
          <w:sz w:val="20"/>
        </w:rPr>
        <w:t>oppression.</w:t>
      </w:r>
    </w:p>
    <w:p>
      <w:pPr>
        <w:pStyle w:val="BodyText"/>
        <w:spacing w:before="9"/>
      </w:pPr>
    </w:p>
    <w:p>
      <w:pPr>
        <w:pStyle w:val="Heading1"/>
        <w:spacing w:before="1"/>
        <w:ind w:left="120" w:firstLine="0"/>
        <w:rPr>
          <w:u w:val="none"/>
        </w:rPr>
      </w:pPr>
      <w:r>
        <w:rPr>
          <w:u w:val="none"/>
        </w:rPr>
        <w:t>My Reasonable Expectations Not Met</w:t>
      </w:r>
    </w:p>
    <w:p>
      <w:pPr>
        <w:pStyle w:val="BodyText"/>
        <w:spacing w:before="9"/>
        <w:rPr>
          <w:b/>
          <w:sz w:val="30"/>
        </w:rPr>
      </w:pPr>
    </w:p>
    <w:p>
      <w:pPr>
        <w:pStyle w:val="ListParagraph"/>
        <w:numPr>
          <w:ilvl w:val="0"/>
          <w:numId w:val="11"/>
        </w:numPr>
        <w:tabs>
          <w:tab w:pos="840" w:val="left" w:leader="none"/>
          <w:tab w:pos="841" w:val="left" w:leader="none"/>
        </w:tabs>
        <w:spacing w:line="240" w:lineRule="auto" w:before="0" w:after="0"/>
        <w:ind w:left="840" w:right="0" w:hanging="721"/>
        <w:jc w:val="left"/>
        <w:rPr>
          <w:sz w:val="20"/>
        </w:rPr>
      </w:pPr>
      <w:r>
        <w:rPr>
          <w:sz w:val="20"/>
        </w:rPr>
        <w:t>By reason of the</w:t>
      </w:r>
      <w:r>
        <w:rPr>
          <w:spacing w:val="-4"/>
          <w:sz w:val="20"/>
        </w:rPr>
        <w:t> </w:t>
      </w:r>
      <w:r>
        <w:rPr>
          <w:sz w:val="20"/>
        </w:rPr>
        <w:t>foregoing:</w:t>
      </w:r>
    </w:p>
    <w:p>
      <w:pPr>
        <w:pStyle w:val="BodyText"/>
        <w:rPr>
          <w:sz w:val="31"/>
        </w:rPr>
      </w:pPr>
    </w:p>
    <w:p>
      <w:pPr>
        <w:pStyle w:val="ListParagraph"/>
        <w:numPr>
          <w:ilvl w:val="1"/>
          <w:numId w:val="11"/>
        </w:numPr>
        <w:tabs>
          <w:tab w:pos="1560" w:val="left" w:leader="none"/>
          <w:tab w:pos="1561" w:val="left" w:leader="none"/>
        </w:tabs>
        <w:spacing w:line="350" w:lineRule="auto" w:before="0" w:after="0"/>
        <w:ind w:left="1560" w:right="1195" w:hanging="721"/>
        <w:jc w:val="both"/>
        <w:rPr>
          <w:rFonts w:ascii="Symbol" w:hAnsi="Symbol"/>
          <w:sz w:val="20"/>
        </w:rPr>
      </w:pPr>
      <w:r>
        <w:rPr>
          <w:sz w:val="20"/>
        </w:rPr>
        <w:t>my reasonable expectations of the conduct of KRN, the KRN Board, and management, have not been met;</w:t>
      </w:r>
      <w:r>
        <w:rPr>
          <w:spacing w:val="-5"/>
          <w:sz w:val="20"/>
        </w:rPr>
        <w:t> </w:t>
      </w:r>
      <w:r>
        <w:rPr>
          <w:sz w:val="20"/>
        </w:rPr>
        <w:t>and</w:t>
      </w:r>
    </w:p>
    <w:p>
      <w:pPr>
        <w:pStyle w:val="BodyText"/>
        <w:spacing w:before="8"/>
        <w:rPr>
          <w:sz w:val="21"/>
        </w:rPr>
      </w:pPr>
    </w:p>
    <w:p>
      <w:pPr>
        <w:pStyle w:val="ListParagraph"/>
        <w:numPr>
          <w:ilvl w:val="1"/>
          <w:numId w:val="11"/>
        </w:numPr>
        <w:tabs>
          <w:tab w:pos="1560" w:val="left" w:leader="none"/>
          <w:tab w:pos="1561" w:val="left" w:leader="none"/>
        </w:tabs>
        <w:spacing w:line="357" w:lineRule="auto" w:before="0" w:after="0"/>
        <w:ind w:left="1560" w:right="1196" w:hanging="720"/>
        <w:jc w:val="both"/>
        <w:rPr>
          <w:rFonts w:ascii="Symbol" w:hAnsi="Symbol"/>
          <w:sz w:val="20"/>
        </w:rPr>
      </w:pPr>
      <w:bookmarkStart w:name=" I have concluded that KRN, the KRN Boa" w:id="65"/>
      <w:bookmarkEnd w:id="65"/>
      <w:r>
        <w:rPr/>
      </w:r>
      <w:bookmarkStart w:name=" I have concluded that KRN, the KRN Boa" w:id="66"/>
      <w:bookmarkEnd w:id="66"/>
      <w:r>
        <w:rPr>
          <w:sz w:val="20"/>
        </w:rPr>
        <w:t>I</w:t>
      </w:r>
      <w:r>
        <w:rPr>
          <w:sz w:val="20"/>
        </w:rPr>
        <w:t> have concluded that KRN, the KRN Board, and management, and in particular Varma and</w:t>
      </w:r>
      <w:r>
        <w:rPr>
          <w:spacing w:val="-16"/>
          <w:sz w:val="20"/>
        </w:rPr>
        <w:t> </w:t>
      </w:r>
      <w:r>
        <w:rPr>
          <w:sz w:val="20"/>
        </w:rPr>
        <w:t>Favreau,</w:t>
      </w:r>
      <w:r>
        <w:rPr>
          <w:spacing w:val="-17"/>
          <w:sz w:val="20"/>
        </w:rPr>
        <w:t> </w:t>
      </w:r>
      <w:r>
        <w:rPr>
          <w:sz w:val="20"/>
        </w:rPr>
        <w:t>may</w:t>
      </w:r>
      <w:r>
        <w:rPr>
          <w:spacing w:val="-15"/>
          <w:sz w:val="20"/>
        </w:rPr>
        <w:t> </w:t>
      </w:r>
      <w:r>
        <w:rPr>
          <w:sz w:val="20"/>
        </w:rPr>
        <w:t>have</w:t>
      </w:r>
      <w:r>
        <w:rPr>
          <w:spacing w:val="-16"/>
          <w:sz w:val="20"/>
        </w:rPr>
        <w:t> </w:t>
      </w:r>
      <w:r>
        <w:rPr>
          <w:sz w:val="20"/>
        </w:rPr>
        <w:t>conducted</w:t>
      </w:r>
      <w:r>
        <w:rPr>
          <w:spacing w:val="-16"/>
          <w:sz w:val="20"/>
        </w:rPr>
        <w:t> </w:t>
      </w:r>
      <w:r>
        <w:rPr>
          <w:sz w:val="20"/>
        </w:rPr>
        <w:t>the</w:t>
      </w:r>
      <w:r>
        <w:rPr>
          <w:spacing w:val="-15"/>
          <w:sz w:val="20"/>
        </w:rPr>
        <w:t> </w:t>
      </w:r>
      <w:r>
        <w:rPr>
          <w:sz w:val="20"/>
        </w:rPr>
        <w:t>business</w:t>
      </w:r>
      <w:r>
        <w:rPr>
          <w:spacing w:val="-15"/>
          <w:sz w:val="20"/>
        </w:rPr>
        <w:t> </w:t>
      </w:r>
      <w:r>
        <w:rPr>
          <w:sz w:val="20"/>
        </w:rPr>
        <w:t>and</w:t>
      </w:r>
      <w:r>
        <w:rPr>
          <w:spacing w:val="-16"/>
          <w:sz w:val="20"/>
        </w:rPr>
        <w:t> </w:t>
      </w:r>
      <w:r>
        <w:rPr>
          <w:sz w:val="20"/>
        </w:rPr>
        <w:t>affairs</w:t>
      </w:r>
      <w:r>
        <w:rPr>
          <w:spacing w:val="-14"/>
          <w:sz w:val="20"/>
        </w:rPr>
        <w:t> </w:t>
      </w:r>
      <w:r>
        <w:rPr>
          <w:sz w:val="20"/>
        </w:rPr>
        <w:t>of</w:t>
      </w:r>
      <w:r>
        <w:rPr>
          <w:spacing w:val="-16"/>
          <w:sz w:val="20"/>
        </w:rPr>
        <w:t> </w:t>
      </w:r>
      <w:r>
        <w:rPr>
          <w:sz w:val="20"/>
        </w:rPr>
        <w:t>KRN</w:t>
      </w:r>
      <w:r>
        <w:rPr>
          <w:spacing w:val="-15"/>
          <w:sz w:val="20"/>
        </w:rPr>
        <w:t> </w:t>
      </w:r>
      <w:r>
        <w:rPr>
          <w:sz w:val="20"/>
        </w:rPr>
        <w:t>in</w:t>
      </w:r>
      <w:r>
        <w:rPr>
          <w:spacing w:val="-17"/>
          <w:sz w:val="20"/>
        </w:rPr>
        <w:t> </w:t>
      </w:r>
      <w:r>
        <w:rPr>
          <w:sz w:val="20"/>
        </w:rPr>
        <w:t>violation</w:t>
      </w:r>
      <w:r>
        <w:rPr>
          <w:spacing w:val="-15"/>
          <w:sz w:val="20"/>
        </w:rPr>
        <w:t> </w:t>
      </w:r>
      <w:r>
        <w:rPr>
          <w:sz w:val="20"/>
        </w:rPr>
        <w:t>of</w:t>
      </w:r>
      <w:r>
        <w:rPr>
          <w:spacing w:val="-16"/>
          <w:sz w:val="20"/>
        </w:rPr>
        <w:t> </w:t>
      </w:r>
      <w:r>
        <w:rPr>
          <w:sz w:val="20"/>
        </w:rPr>
        <w:t>Securities Laws, TSX Rules, the KRN Code, and other laws of Canada, and not in accordance with standard Canadian business practices, and in a manner that is oppressive and unfairly prejudicial to all KRN Shareholders, and in particular, to me as one of the Concerned Shareholders who is a long-standing, significant shareholder of</w:t>
      </w:r>
      <w:r>
        <w:rPr>
          <w:spacing w:val="-12"/>
          <w:sz w:val="20"/>
        </w:rPr>
        <w:t> </w:t>
      </w:r>
      <w:r>
        <w:rPr>
          <w:sz w:val="20"/>
        </w:rPr>
        <w:t>KRN.</w:t>
      </w:r>
    </w:p>
    <w:p>
      <w:pPr>
        <w:spacing w:after="0" w:line="357" w:lineRule="auto"/>
        <w:jc w:val="both"/>
        <w:rPr>
          <w:rFonts w:ascii="Symbol" w:hAnsi="Symbol"/>
          <w:sz w:val="20"/>
        </w:rPr>
        <w:sectPr>
          <w:pgSz w:w="12240" w:h="15840"/>
          <w:pgMar w:header="0" w:footer="1011" w:top="1220" w:bottom="1240" w:left="1320" w:right="240"/>
        </w:sectPr>
      </w:pPr>
    </w:p>
    <w:p>
      <w:pPr>
        <w:pStyle w:val="BodyText"/>
        <w:spacing w:before="4"/>
        <w:rPr>
          <w:sz w:val="17"/>
        </w:rPr>
      </w:pPr>
      <w:r>
        <w:rPr/>
        <w:drawing>
          <wp:anchor distT="0" distB="0" distL="0" distR="0" allowOverlap="1" layoutInCell="1" locked="0" behindDoc="1" simplePos="0" relativeHeight="250802176">
            <wp:simplePos x="0" y="0"/>
            <wp:positionH relativeFrom="page">
              <wp:posOffset>0</wp:posOffset>
            </wp:positionH>
            <wp:positionV relativeFrom="page">
              <wp:posOffset>0</wp:posOffset>
            </wp:positionV>
            <wp:extent cx="7772400" cy="10058400"/>
            <wp:effectExtent l="0" t="0" r="0" b="0"/>
            <wp:wrapNone/>
            <wp:docPr id="25" name="image4.jpeg"/>
            <wp:cNvGraphicFramePr>
              <a:graphicFrameLocks noChangeAspect="1"/>
            </wp:cNvGraphicFramePr>
            <a:graphic>
              <a:graphicData uri="http://schemas.openxmlformats.org/drawingml/2006/picture">
                <pic:pic>
                  <pic:nvPicPr>
                    <pic:cNvPr id="26" name="image4.jpeg"/>
                    <pic:cNvPicPr/>
                  </pic:nvPicPr>
                  <pic:blipFill>
                    <a:blip r:embed="rId16" cstate="print"/>
                    <a:stretch>
                      <a:fillRect/>
                    </a:stretch>
                  </pic:blipFill>
                  <pic:spPr>
                    <a:xfrm>
                      <a:off x="0" y="0"/>
                      <a:ext cx="7772400" cy="10058400"/>
                    </a:xfrm>
                    <a:prstGeom prst="rect">
                      <a:avLst/>
                    </a:prstGeom>
                  </pic:spPr>
                </pic:pic>
              </a:graphicData>
            </a:graphic>
          </wp:anchor>
        </w:drawing>
      </w:r>
    </w:p>
    <w:sectPr>
      <w:footerReference w:type="default" r:id="rId15"/>
      <w:pgSz w:w="12240" w:h="15840"/>
      <w:pgMar w:footer="0" w:header="0" w:top="1500" w:bottom="280" w:left="13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92960">
          <wp:simplePos x="0" y="0"/>
          <wp:positionH relativeFrom="page">
            <wp:posOffset>6867411</wp:posOffset>
          </wp:positionH>
          <wp:positionV relativeFrom="page">
            <wp:posOffset>9334386</wp:posOffset>
          </wp:positionV>
          <wp:extent cx="657485" cy="555707"/>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1" cstate="print"/>
                  <a:stretch>
                    <a:fillRect/>
                  </a:stretch>
                </pic:blipFill>
                <pic:spPr>
                  <a:xfrm>
                    <a:off x="0" y="0"/>
                    <a:ext cx="657485" cy="555707"/>
                  </a:xfrm>
                  <a:prstGeom prst="rect">
                    <a:avLst/>
                  </a:prstGeom>
                </pic:spPr>
              </pic:pic>
            </a:graphicData>
          </a:graphic>
        </wp:anchor>
      </w:drawing>
    </w:r>
    <w:r>
      <w:rPr/>
      <w:pict>
        <v:shape style="position:absolute;margin-left:300.179993pt;margin-top:732.429138pt;width:11.6pt;height:13.2pt;mso-position-horizontal-relative:page;mso-position-vertical-relative:page;z-index:-252522496" type="#_x0000_t202" filled="false" stroked="false">
          <v:textbox inset="0,0,0,0">
            <w:txbxContent>
              <w:p>
                <w:pPr>
                  <w:pStyle w:val="BodyText"/>
                  <w:spacing w:before="14"/>
                  <w:ind w:left="60"/>
                </w:pPr>
                <w:r>
                  <w:rPr/>
                  <w:fldChar w:fldCharType="begin"/>
                </w:r>
                <w:r>
                  <w:rPr>
                    <w:w w:val="100"/>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95008">
          <wp:simplePos x="0" y="0"/>
          <wp:positionH relativeFrom="page">
            <wp:posOffset>6717220</wp:posOffset>
          </wp:positionH>
          <wp:positionV relativeFrom="page">
            <wp:posOffset>9401972</wp:posOffset>
          </wp:positionV>
          <wp:extent cx="657485" cy="555707"/>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657485" cy="555707"/>
                  </a:xfrm>
                  <a:prstGeom prst="rect">
                    <a:avLst/>
                  </a:prstGeom>
                </pic:spPr>
              </pic:pic>
            </a:graphicData>
          </a:graphic>
        </wp:anchor>
      </w:drawing>
    </w:r>
    <w:r>
      <w:rPr/>
      <w:pict>
        <v:shape style="position:absolute;margin-left:300.179993pt;margin-top:732.429138pt;width:11.6pt;height:13.2pt;mso-position-horizontal-relative:page;mso-position-vertical-relative:page;z-index:-252520448" type="#_x0000_t202" filled="false" stroked="false">
          <v:textbox inset="0,0,0,0">
            <w:txbxContent>
              <w:p>
                <w:pPr>
                  <w:pStyle w:val="BodyText"/>
                  <w:spacing w:before="14"/>
                  <w:ind w:left="60"/>
                </w:pPr>
                <w:r>
                  <w:rPr/>
                  <w:fldChar w:fldCharType="begin"/>
                </w:r>
                <w:r>
                  <w:rPr>
                    <w:w w:val="100"/>
                  </w:rPr>
                  <w:instrText> PAGE </w:instrText>
                </w:r>
                <w:r>
                  <w:rPr/>
                  <w:fldChar w:fldCharType="separate"/>
                </w:r>
                <w:r>
                  <w:rPr/>
                  <w:t>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797056">
          <wp:simplePos x="0" y="0"/>
          <wp:positionH relativeFrom="page">
            <wp:posOffset>6972554</wp:posOffset>
          </wp:positionH>
          <wp:positionV relativeFrom="page">
            <wp:posOffset>9259292</wp:posOffset>
          </wp:positionV>
          <wp:extent cx="657485" cy="555707"/>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657485" cy="555707"/>
                  </a:xfrm>
                  <a:prstGeom prst="rect">
                    <a:avLst/>
                  </a:prstGeom>
                </pic:spPr>
              </pic:pic>
            </a:graphicData>
          </a:graphic>
        </wp:anchor>
      </w:drawing>
    </w:r>
    <w:r>
      <w:rPr/>
      <w:pict>
        <v:shape style="position:absolute;margin-left:297.420013pt;margin-top:732.429138pt;width:17.2pt;height:13.2pt;mso-position-horizontal-relative:page;mso-position-vertical-relative:page;z-index:-252518400" type="#_x0000_t202" filled="false" stroked="false">
          <v:textbox inset="0,0,0,0">
            <w:txbxContent>
              <w:p>
                <w:pPr>
                  <w:pStyle w:val="BodyText"/>
                  <w:spacing w:before="14"/>
                  <w:ind w:left="60"/>
                </w:pPr>
                <w:r>
                  <w:rPr/>
                  <w:fldChar w:fldCharType="begin"/>
                </w:r>
                <w:r>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7.420013pt;margin-top:732.429138pt;width:17.2pt;height:13.2pt;mso-position-horizontal-relative:page;mso-position-vertical-relative:page;z-index:-252517376" type="#_x0000_t202" filled="false" stroked="false">
          <v:textbox inset="0,0,0,0">
            <w:txbxContent>
              <w:p>
                <w:pPr>
                  <w:pStyle w:val="BodyText"/>
                  <w:spacing w:before="14"/>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800128">
          <wp:simplePos x="0" y="0"/>
          <wp:positionH relativeFrom="page">
            <wp:posOffset>6950023</wp:posOffset>
          </wp:positionH>
          <wp:positionV relativeFrom="page">
            <wp:posOffset>9386961</wp:posOffset>
          </wp:positionV>
          <wp:extent cx="657484" cy="555707"/>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1" cstate="print"/>
                  <a:stretch>
                    <a:fillRect/>
                  </a:stretch>
                </pic:blipFill>
                <pic:spPr>
                  <a:xfrm>
                    <a:off x="0" y="0"/>
                    <a:ext cx="657484" cy="555707"/>
                  </a:xfrm>
                  <a:prstGeom prst="rect">
                    <a:avLst/>
                  </a:prstGeom>
                </pic:spPr>
              </pic:pic>
            </a:graphicData>
          </a:graphic>
        </wp:anchor>
      </w:drawing>
    </w:r>
    <w:r>
      <w:rPr/>
      <w:pict>
        <v:shape style="position:absolute;margin-left:297.420013pt;margin-top:732.429138pt;width:17.2pt;height:13.2pt;mso-position-horizontal-relative:page;mso-position-vertical-relative:page;z-index:-252515328" type="#_x0000_t202" filled="false" stroked="false">
          <v:textbox inset="0,0,0,0">
            <w:txbxContent>
              <w:p>
                <w:pPr>
                  <w:pStyle w:val="BodyText"/>
                  <w:spacing w:before="14"/>
                  <w:ind w:left="60"/>
                </w:pPr>
                <w:r>
                  <w:rPr/>
                  <w:fldChar w:fldCharType="begin"/>
                </w:r>
                <w:r>
                  <w:rPr/>
                  <w:instrText> PAGE </w:instrText>
                </w:r>
                <w:r>
                  <w:rPr/>
                  <w:fldChar w:fldCharType="separate"/>
                </w:r>
                <w:r>
                  <w:rPr/>
                  <w:t>19</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802176">
          <wp:simplePos x="0" y="0"/>
          <wp:positionH relativeFrom="page">
            <wp:posOffset>6762280</wp:posOffset>
          </wp:positionH>
          <wp:positionV relativeFrom="page">
            <wp:posOffset>9251787</wp:posOffset>
          </wp:positionV>
          <wp:extent cx="657478" cy="555707"/>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1" cstate="print"/>
                  <a:stretch>
                    <a:fillRect/>
                  </a:stretch>
                </pic:blipFill>
                <pic:spPr>
                  <a:xfrm>
                    <a:off x="0" y="0"/>
                    <a:ext cx="657478" cy="555707"/>
                  </a:xfrm>
                  <a:prstGeom prst="rect">
                    <a:avLst/>
                  </a:prstGeom>
                </pic:spPr>
              </pic:pic>
            </a:graphicData>
          </a:graphic>
        </wp:anchor>
      </w:drawing>
    </w:r>
    <w:r>
      <w:rPr/>
      <w:pict>
        <v:shape style="position:absolute;margin-left:297.420013pt;margin-top:732.429138pt;width:17.2pt;height:13.2pt;mso-position-horizontal-relative:page;mso-position-vertical-relative:page;z-index:-252513280" type="#_x0000_t202" filled="false" stroked="false">
          <v:textbox inset="0,0,0,0">
            <w:txbxContent>
              <w:p>
                <w:pPr>
                  <w:pStyle w:val="BodyText"/>
                  <w:spacing w:before="14"/>
                  <w:ind w:left="60"/>
                </w:pPr>
                <w:r>
                  <w:rPr/>
                  <w:fldChar w:fldCharType="begin"/>
                </w:r>
                <w:r>
                  <w:rPr/>
                  <w:instrText> PAGE </w:instrText>
                </w:r>
                <w:r>
                  <w:rPr/>
                  <w:fldChar w:fldCharType="separate"/>
                </w:r>
                <w:r>
                  <w:rPr/>
                  <w:t>26</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804224">
          <wp:simplePos x="0" y="0"/>
          <wp:positionH relativeFrom="page">
            <wp:posOffset>6694690</wp:posOffset>
          </wp:positionH>
          <wp:positionV relativeFrom="page">
            <wp:posOffset>9289328</wp:posOffset>
          </wp:positionV>
          <wp:extent cx="657485" cy="555707"/>
          <wp:effectExtent l="0" t="0" r="0" b="0"/>
          <wp:wrapNone/>
          <wp:docPr id="23" name="image3.png"/>
          <wp:cNvGraphicFramePr>
            <a:graphicFrameLocks noChangeAspect="1"/>
          </wp:cNvGraphicFramePr>
          <a:graphic>
            <a:graphicData uri="http://schemas.openxmlformats.org/drawingml/2006/picture">
              <pic:pic>
                <pic:nvPicPr>
                  <pic:cNvPr id="24" name="image3.png"/>
                  <pic:cNvPicPr/>
                </pic:nvPicPr>
                <pic:blipFill>
                  <a:blip r:embed="rId1" cstate="print"/>
                  <a:stretch>
                    <a:fillRect/>
                  </a:stretch>
                </pic:blipFill>
                <pic:spPr>
                  <a:xfrm>
                    <a:off x="0" y="0"/>
                    <a:ext cx="657485" cy="555707"/>
                  </a:xfrm>
                  <a:prstGeom prst="rect">
                    <a:avLst/>
                  </a:prstGeom>
                </pic:spPr>
              </pic:pic>
            </a:graphicData>
          </a:graphic>
        </wp:anchor>
      </w:drawing>
    </w:r>
    <w:r>
      <w:rPr/>
      <w:pict>
        <v:shape style="position:absolute;margin-left:297.420013pt;margin-top:732.429138pt;width:17.2pt;height:13.2pt;mso-position-horizontal-relative:page;mso-position-vertical-relative:page;z-index:-252511232" type="#_x0000_t202" filled="false" stroked="false">
          <v:textbox inset="0,0,0,0">
            <w:txbxContent>
              <w:p>
                <w:pPr>
                  <w:pStyle w:val="BodyText"/>
                  <w:spacing w:before="14"/>
                  <w:ind w:left="60"/>
                </w:pPr>
                <w:r>
                  <w:rPr/>
                  <w:fldChar w:fldCharType="begin"/>
                </w:r>
                <w:r>
                  <w:rPr/>
                  <w:instrText> PAGE </w:instrText>
                </w:r>
                <w:r>
                  <w:rPr/>
                  <w:fldChar w:fldCharType="separate"/>
                </w:r>
                <w:r>
                  <w:rPr/>
                  <w:t>27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38"/>
      <w:numFmt w:val="decimal"/>
      <w:lvlText w:val="%1."/>
      <w:lvlJc w:val="left"/>
      <w:pPr>
        <w:ind w:left="839" w:hanging="721"/>
        <w:jc w:val="left"/>
      </w:pPr>
      <w:rPr>
        <w:rFonts w:hint="default"/>
        <w:w w:val="100"/>
        <w:lang w:val="en-US" w:eastAsia="en-US" w:bidi="en-US"/>
      </w:rPr>
    </w:lvl>
    <w:lvl w:ilvl="1">
      <w:start w:val="0"/>
      <w:numFmt w:val="bullet"/>
      <w:lvlText w:val=""/>
      <w:lvlJc w:val="left"/>
      <w:pPr>
        <w:ind w:left="1560" w:hanging="721"/>
      </w:pPr>
      <w:rPr>
        <w:rFonts w:hint="default"/>
        <w:w w:val="100"/>
        <w:lang w:val="en-US" w:eastAsia="en-US" w:bidi="en-US"/>
      </w:rPr>
    </w:lvl>
    <w:lvl w:ilvl="2">
      <w:start w:val="0"/>
      <w:numFmt w:val="bullet"/>
      <w:lvlText w:val=""/>
      <w:lvlJc w:val="left"/>
      <w:pPr>
        <w:ind w:left="2280" w:hanging="721"/>
      </w:pPr>
      <w:rPr>
        <w:rFonts w:hint="default" w:ascii="Symbol" w:hAnsi="Symbol" w:eastAsia="Symbol" w:cs="Symbol"/>
        <w:w w:val="100"/>
        <w:sz w:val="20"/>
        <w:szCs w:val="20"/>
        <w:lang w:val="en-US" w:eastAsia="en-US" w:bidi="en-US"/>
      </w:rPr>
    </w:lvl>
    <w:lvl w:ilvl="3">
      <w:start w:val="0"/>
      <w:numFmt w:val="bullet"/>
      <w:lvlText w:val="•"/>
      <w:lvlJc w:val="left"/>
      <w:pPr>
        <w:ind w:left="3330" w:hanging="721"/>
      </w:pPr>
      <w:rPr>
        <w:rFonts w:hint="default"/>
        <w:lang w:val="en-US" w:eastAsia="en-US" w:bidi="en-US"/>
      </w:rPr>
    </w:lvl>
    <w:lvl w:ilvl="4">
      <w:start w:val="0"/>
      <w:numFmt w:val="bullet"/>
      <w:lvlText w:val="•"/>
      <w:lvlJc w:val="left"/>
      <w:pPr>
        <w:ind w:left="4380" w:hanging="721"/>
      </w:pPr>
      <w:rPr>
        <w:rFonts w:hint="default"/>
        <w:lang w:val="en-US" w:eastAsia="en-US" w:bidi="en-US"/>
      </w:rPr>
    </w:lvl>
    <w:lvl w:ilvl="5">
      <w:start w:val="0"/>
      <w:numFmt w:val="bullet"/>
      <w:lvlText w:val="•"/>
      <w:lvlJc w:val="left"/>
      <w:pPr>
        <w:ind w:left="5430" w:hanging="721"/>
      </w:pPr>
      <w:rPr>
        <w:rFonts w:hint="default"/>
        <w:lang w:val="en-US" w:eastAsia="en-US" w:bidi="en-US"/>
      </w:rPr>
    </w:lvl>
    <w:lvl w:ilvl="6">
      <w:start w:val="0"/>
      <w:numFmt w:val="bullet"/>
      <w:lvlText w:val="•"/>
      <w:lvlJc w:val="left"/>
      <w:pPr>
        <w:ind w:left="6480" w:hanging="721"/>
      </w:pPr>
      <w:rPr>
        <w:rFonts w:hint="default"/>
        <w:lang w:val="en-US" w:eastAsia="en-US" w:bidi="en-US"/>
      </w:rPr>
    </w:lvl>
    <w:lvl w:ilvl="7">
      <w:start w:val="0"/>
      <w:numFmt w:val="bullet"/>
      <w:lvlText w:val="•"/>
      <w:lvlJc w:val="left"/>
      <w:pPr>
        <w:ind w:left="7530" w:hanging="721"/>
      </w:pPr>
      <w:rPr>
        <w:rFonts w:hint="default"/>
        <w:lang w:val="en-US" w:eastAsia="en-US" w:bidi="en-US"/>
      </w:rPr>
    </w:lvl>
    <w:lvl w:ilvl="8">
      <w:start w:val="0"/>
      <w:numFmt w:val="bullet"/>
      <w:lvlText w:val="•"/>
      <w:lvlJc w:val="left"/>
      <w:pPr>
        <w:ind w:left="8580" w:hanging="721"/>
      </w:pPr>
      <w:rPr>
        <w:rFonts w:hint="default"/>
        <w:lang w:val="en-US" w:eastAsia="en-US" w:bidi="en-US"/>
      </w:rPr>
    </w:lvl>
  </w:abstractNum>
  <w:abstractNum w:abstractNumId="9">
    <w:multiLevelType w:val="hybridMultilevel"/>
    <w:lvl w:ilvl="0">
      <w:start w:val="1"/>
      <w:numFmt w:val="lowerLetter"/>
      <w:lvlText w:val="%1)"/>
      <w:lvlJc w:val="left"/>
      <w:pPr>
        <w:ind w:left="840" w:hanging="721"/>
        <w:jc w:val="left"/>
      </w:pPr>
      <w:rPr>
        <w:rFonts w:hint="default" w:ascii="Arial" w:hAnsi="Arial" w:eastAsia="Arial" w:cs="Arial"/>
        <w:b/>
        <w:bCs/>
        <w:color w:val="1C1C1C"/>
        <w:w w:val="100"/>
        <w:sz w:val="20"/>
        <w:szCs w:val="20"/>
        <w:lang w:val="en-US" w:eastAsia="en-US" w:bidi="en-US"/>
      </w:rPr>
    </w:lvl>
    <w:lvl w:ilvl="1">
      <w:start w:val="0"/>
      <w:numFmt w:val="bullet"/>
      <w:lvlText w:val="•"/>
      <w:lvlJc w:val="left"/>
      <w:pPr>
        <w:ind w:left="1824" w:hanging="721"/>
      </w:pPr>
      <w:rPr>
        <w:rFonts w:hint="default"/>
        <w:lang w:val="en-US" w:eastAsia="en-US" w:bidi="en-US"/>
      </w:rPr>
    </w:lvl>
    <w:lvl w:ilvl="2">
      <w:start w:val="0"/>
      <w:numFmt w:val="bullet"/>
      <w:lvlText w:val="•"/>
      <w:lvlJc w:val="left"/>
      <w:pPr>
        <w:ind w:left="2808" w:hanging="721"/>
      </w:pPr>
      <w:rPr>
        <w:rFonts w:hint="default"/>
        <w:lang w:val="en-US" w:eastAsia="en-US" w:bidi="en-US"/>
      </w:rPr>
    </w:lvl>
    <w:lvl w:ilvl="3">
      <w:start w:val="0"/>
      <w:numFmt w:val="bullet"/>
      <w:lvlText w:val="•"/>
      <w:lvlJc w:val="left"/>
      <w:pPr>
        <w:ind w:left="3792" w:hanging="721"/>
      </w:pPr>
      <w:rPr>
        <w:rFonts w:hint="default"/>
        <w:lang w:val="en-US" w:eastAsia="en-US" w:bidi="en-US"/>
      </w:rPr>
    </w:lvl>
    <w:lvl w:ilvl="4">
      <w:start w:val="0"/>
      <w:numFmt w:val="bullet"/>
      <w:lvlText w:val="•"/>
      <w:lvlJc w:val="left"/>
      <w:pPr>
        <w:ind w:left="4776" w:hanging="721"/>
      </w:pPr>
      <w:rPr>
        <w:rFonts w:hint="default"/>
        <w:lang w:val="en-US" w:eastAsia="en-US" w:bidi="en-US"/>
      </w:rPr>
    </w:lvl>
    <w:lvl w:ilvl="5">
      <w:start w:val="0"/>
      <w:numFmt w:val="bullet"/>
      <w:lvlText w:val="•"/>
      <w:lvlJc w:val="left"/>
      <w:pPr>
        <w:ind w:left="5760" w:hanging="721"/>
      </w:pPr>
      <w:rPr>
        <w:rFonts w:hint="default"/>
        <w:lang w:val="en-US" w:eastAsia="en-US" w:bidi="en-US"/>
      </w:rPr>
    </w:lvl>
    <w:lvl w:ilvl="6">
      <w:start w:val="0"/>
      <w:numFmt w:val="bullet"/>
      <w:lvlText w:val="•"/>
      <w:lvlJc w:val="left"/>
      <w:pPr>
        <w:ind w:left="6744" w:hanging="721"/>
      </w:pPr>
      <w:rPr>
        <w:rFonts w:hint="default"/>
        <w:lang w:val="en-US" w:eastAsia="en-US" w:bidi="en-US"/>
      </w:rPr>
    </w:lvl>
    <w:lvl w:ilvl="7">
      <w:start w:val="0"/>
      <w:numFmt w:val="bullet"/>
      <w:lvlText w:val="•"/>
      <w:lvlJc w:val="left"/>
      <w:pPr>
        <w:ind w:left="7728" w:hanging="721"/>
      </w:pPr>
      <w:rPr>
        <w:rFonts w:hint="default"/>
        <w:lang w:val="en-US" w:eastAsia="en-US" w:bidi="en-US"/>
      </w:rPr>
    </w:lvl>
    <w:lvl w:ilvl="8">
      <w:start w:val="0"/>
      <w:numFmt w:val="bullet"/>
      <w:lvlText w:val="•"/>
      <w:lvlJc w:val="left"/>
      <w:pPr>
        <w:ind w:left="8712" w:hanging="721"/>
      </w:pPr>
      <w:rPr>
        <w:rFonts w:hint="default"/>
        <w:lang w:val="en-US" w:eastAsia="en-US" w:bidi="en-US"/>
      </w:rPr>
    </w:lvl>
  </w:abstractNum>
  <w:abstractNum w:abstractNumId="8">
    <w:multiLevelType w:val="hybridMultilevel"/>
    <w:lvl w:ilvl="0">
      <w:start w:val="1"/>
      <w:numFmt w:val="lowerRoman"/>
      <w:lvlText w:val="%1)"/>
      <w:lvlJc w:val="left"/>
      <w:pPr>
        <w:ind w:left="1560" w:hanging="721"/>
        <w:jc w:val="left"/>
      </w:pPr>
      <w:rPr>
        <w:rFonts w:hint="default"/>
        <w:b/>
        <w:bCs/>
        <w:spacing w:val="-1"/>
        <w:w w:val="100"/>
        <w:lang w:val="en-US" w:eastAsia="en-US" w:bidi="en-US"/>
      </w:rPr>
    </w:lvl>
    <w:lvl w:ilvl="1">
      <w:start w:val="0"/>
      <w:numFmt w:val="bullet"/>
      <w:lvlText w:val="•"/>
      <w:lvlJc w:val="left"/>
      <w:pPr>
        <w:ind w:left="2472" w:hanging="721"/>
      </w:pPr>
      <w:rPr>
        <w:rFonts w:hint="default"/>
        <w:lang w:val="en-US" w:eastAsia="en-US" w:bidi="en-US"/>
      </w:rPr>
    </w:lvl>
    <w:lvl w:ilvl="2">
      <w:start w:val="0"/>
      <w:numFmt w:val="bullet"/>
      <w:lvlText w:val="•"/>
      <w:lvlJc w:val="left"/>
      <w:pPr>
        <w:ind w:left="3384" w:hanging="721"/>
      </w:pPr>
      <w:rPr>
        <w:rFonts w:hint="default"/>
        <w:lang w:val="en-US" w:eastAsia="en-US" w:bidi="en-US"/>
      </w:rPr>
    </w:lvl>
    <w:lvl w:ilvl="3">
      <w:start w:val="0"/>
      <w:numFmt w:val="bullet"/>
      <w:lvlText w:val="•"/>
      <w:lvlJc w:val="left"/>
      <w:pPr>
        <w:ind w:left="4296" w:hanging="721"/>
      </w:pPr>
      <w:rPr>
        <w:rFonts w:hint="default"/>
        <w:lang w:val="en-US" w:eastAsia="en-US" w:bidi="en-US"/>
      </w:rPr>
    </w:lvl>
    <w:lvl w:ilvl="4">
      <w:start w:val="0"/>
      <w:numFmt w:val="bullet"/>
      <w:lvlText w:val="•"/>
      <w:lvlJc w:val="left"/>
      <w:pPr>
        <w:ind w:left="5208" w:hanging="721"/>
      </w:pPr>
      <w:rPr>
        <w:rFonts w:hint="default"/>
        <w:lang w:val="en-US" w:eastAsia="en-US" w:bidi="en-US"/>
      </w:rPr>
    </w:lvl>
    <w:lvl w:ilvl="5">
      <w:start w:val="0"/>
      <w:numFmt w:val="bullet"/>
      <w:lvlText w:val="•"/>
      <w:lvlJc w:val="left"/>
      <w:pPr>
        <w:ind w:left="6120" w:hanging="721"/>
      </w:pPr>
      <w:rPr>
        <w:rFonts w:hint="default"/>
        <w:lang w:val="en-US" w:eastAsia="en-US" w:bidi="en-US"/>
      </w:rPr>
    </w:lvl>
    <w:lvl w:ilvl="6">
      <w:start w:val="0"/>
      <w:numFmt w:val="bullet"/>
      <w:lvlText w:val="•"/>
      <w:lvlJc w:val="left"/>
      <w:pPr>
        <w:ind w:left="7032" w:hanging="721"/>
      </w:pPr>
      <w:rPr>
        <w:rFonts w:hint="default"/>
        <w:lang w:val="en-US" w:eastAsia="en-US" w:bidi="en-US"/>
      </w:rPr>
    </w:lvl>
    <w:lvl w:ilvl="7">
      <w:start w:val="0"/>
      <w:numFmt w:val="bullet"/>
      <w:lvlText w:val="•"/>
      <w:lvlJc w:val="left"/>
      <w:pPr>
        <w:ind w:left="7944" w:hanging="721"/>
      </w:pPr>
      <w:rPr>
        <w:rFonts w:hint="default"/>
        <w:lang w:val="en-US" w:eastAsia="en-US" w:bidi="en-US"/>
      </w:rPr>
    </w:lvl>
    <w:lvl w:ilvl="8">
      <w:start w:val="0"/>
      <w:numFmt w:val="bullet"/>
      <w:lvlText w:val="•"/>
      <w:lvlJc w:val="left"/>
      <w:pPr>
        <w:ind w:left="8856" w:hanging="721"/>
      </w:pPr>
      <w:rPr>
        <w:rFonts w:hint="default"/>
        <w:lang w:val="en-US" w:eastAsia="en-US" w:bidi="en-US"/>
      </w:rPr>
    </w:lvl>
  </w:abstractNum>
  <w:abstractNum w:abstractNumId="7">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4" w:hanging="721"/>
      </w:pPr>
      <w:rPr>
        <w:rFonts w:hint="default"/>
        <w:lang w:val="en-US" w:eastAsia="en-US" w:bidi="en-US"/>
      </w:rPr>
    </w:lvl>
    <w:lvl w:ilvl="2">
      <w:start w:val="0"/>
      <w:numFmt w:val="bullet"/>
      <w:lvlText w:val="•"/>
      <w:lvlJc w:val="left"/>
      <w:pPr>
        <w:ind w:left="2808" w:hanging="721"/>
      </w:pPr>
      <w:rPr>
        <w:rFonts w:hint="default"/>
        <w:lang w:val="en-US" w:eastAsia="en-US" w:bidi="en-US"/>
      </w:rPr>
    </w:lvl>
    <w:lvl w:ilvl="3">
      <w:start w:val="0"/>
      <w:numFmt w:val="bullet"/>
      <w:lvlText w:val="•"/>
      <w:lvlJc w:val="left"/>
      <w:pPr>
        <w:ind w:left="3792" w:hanging="721"/>
      </w:pPr>
      <w:rPr>
        <w:rFonts w:hint="default"/>
        <w:lang w:val="en-US" w:eastAsia="en-US" w:bidi="en-US"/>
      </w:rPr>
    </w:lvl>
    <w:lvl w:ilvl="4">
      <w:start w:val="0"/>
      <w:numFmt w:val="bullet"/>
      <w:lvlText w:val="•"/>
      <w:lvlJc w:val="left"/>
      <w:pPr>
        <w:ind w:left="4776" w:hanging="721"/>
      </w:pPr>
      <w:rPr>
        <w:rFonts w:hint="default"/>
        <w:lang w:val="en-US" w:eastAsia="en-US" w:bidi="en-US"/>
      </w:rPr>
    </w:lvl>
    <w:lvl w:ilvl="5">
      <w:start w:val="0"/>
      <w:numFmt w:val="bullet"/>
      <w:lvlText w:val="•"/>
      <w:lvlJc w:val="left"/>
      <w:pPr>
        <w:ind w:left="5760" w:hanging="721"/>
      </w:pPr>
      <w:rPr>
        <w:rFonts w:hint="default"/>
        <w:lang w:val="en-US" w:eastAsia="en-US" w:bidi="en-US"/>
      </w:rPr>
    </w:lvl>
    <w:lvl w:ilvl="6">
      <w:start w:val="0"/>
      <w:numFmt w:val="bullet"/>
      <w:lvlText w:val="•"/>
      <w:lvlJc w:val="left"/>
      <w:pPr>
        <w:ind w:left="6744" w:hanging="721"/>
      </w:pPr>
      <w:rPr>
        <w:rFonts w:hint="default"/>
        <w:lang w:val="en-US" w:eastAsia="en-US" w:bidi="en-US"/>
      </w:rPr>
    </w:lvl>
    <w:lvl w:ilvl="7">
      <w:start w:val="0"/>
      <w:numFmt w:val="bullet"/>
      <w:lvlText w:val="•"/>
      <w:lvlJc w:val="left"/>
      <w:pPr>
        <w:ind w:left="7728" w:hanging="721"/>
      </w:pPr>
      <w:rPr>
        <w:rFonts w:hint="default"/>
        <w:lang w:val="en-US" w:eastAsia="en-US" w:bidi="en-US"/>
      </w:rPr>
    </w:lvl>
    <w:lvl w:ilvl="8">
      <w:start w:val="0"/>
      <w:numFmt w:val="bullet"/>
      <w:lvlText w:val="•"/>
      <w:lvlJc w:val="left"/>
      <w:pPr>
        <w:ind w:left="8712" w:hanging="721"/>
      </w:pPr>
      <w:rPr>
        <w:rFonts w:hint="default"/>
        <w:lang w:val="en-US" w:eastAsia="en-US" w:bidi="en-US"/>
      </w:rPr>
    </w:lvl>
  </w:abstractNum>
  <w:abstractNum w:abstractNumId="6">
    <w:multiLevelType w:val="hybridMultilevel"/>
    <w:lvl w:ilvl="0">
      <w:start w:val="6"/>
      <w:numFmt w:val="lowerLetter"/>
      <w:lvlText w:val="%1)"/>
      <w:lvlJc w:val="left"/>
      <w:pPr>
        <w:ind w:left="839" w:hanging="720"/>
        <w:jc w:val="left"/>
      </w:pPr>
      <w:rPr>
        <w:rFonts w:hint="default" w:ascii="Arial" w:hAnsi="Arial" w:eastAsia="Arial" w:cs="Arial"/>
        <w:b/>
        <w:bCs/>
        <w:w w:val="100"/>
        <w:sz w:val="20"/>
        <w:szCs w:val="20"/>
        <w:lang w:val="en-US" w:eastAsia="en-US" w:bidi="en-US"/>
      </w:rPr>
    </w:lvl>
    <w:lvl w:ilvl="1">
      <w:start w:val="0"/>
      <w:numFmt w:val="bullet"/>
      <w:lvlText w:val="•"/>
      <w:lvlJc w:val="left"/>
      <w:pPr>
        <w:ind w:left="1824" w:hanging="720"/>
      </w:pPr>
      <w:rPr>
        <w:rFonts w:hint="default"/>
        <w:lang w:val="en-US" w:eastAsia="en-US" w:bidi="en-US"/>
      </w:rPr>
    </w:lvl>
    <w:lvl w:ilvl="2">
      <w:start w:val="0"/>
      <w:numFmt w:val="bullet"/>
      <w:lvlText w:val="•"/>
      <w:lvlJc w:val="left"/>
      <w:pPr>
        <w:ind w:left="2808" w:hanging="720"/>
      </w:pPr>
      <w:rPr>
        <w:rFonts w:hint="default"/>
        <w:lang w:val="en-US" w:eastAsia="en-US" w:bidi="en-US"/>
      </w:rPr>
    </w:lvl>
    <w:lvl w:ilvl="3">
      <w:start w:val="0"/>
      <w:numFmt w:val="bullet"/>
      <w:lvlText w:val="•"/>
      <w:lvlJc w:val="left"/>
      <w:pPr>
        <w:ind w:left="3792" w:hanging="720"/>
      </w:pPr>
      <w:rPr>
        <w:rFonts w:hint="default"/>
        <w:lang w:val="en-US" w:eastAsia="en-US" w:bidi="en-US"/>
      </w:rPr>
    </w:lvl>
    <w:lvl w:ilvl="4">
      <w:start w:val="0"/>
      <w:numFmt w:val="bullet"/>
      <w:lvlText w:val="•"/>
      <w:lvlJc w:val="left"/>
      <w:pPr>
        <w:ind w:left="4776" w:hanging="720"/>
      </w:pPr>
      <w:rPr>
        <w:rFonts w:hint="default"/>
        <w:lang w:val="en-US" w:eastAsia="en-US" w:bidi="en-US"/>
      </w:rPr>
    </w:lvl>
    <w:lvl w:ilvl="5">
      <w:start w:val="0"/>
      <w:numFmt w:val="bullet"/>
      <w:lvlText w:val="•"/>
      <w:lvlJc w:val="left"/>
      <w:pPr>
        <w:ind w:left="5760" w:hanging="720"/>
      </w:pPr>
      <w:rPr>
        <w:rFonts w:hint="default"/>
        <w:lang w:val="en-US" w:eastAsia="en-US" w:bidi="en-US"/>
      </w:rPr>
    </w:lvl>
    <w:lvl w:ilvl="6">
      <w:start w:val="0"/>
      <w:numFmt w:val="bullet"/>
      <w:lvlText w:val="•"/>
      <w:lvlJc w:val="left"/>
      <w:pPr>
        <w:ind w:left="6744" w:hanging="720"/>
      </w:pPr>
      <w:rPr>
        <w:rFonts w:hint="default"/>
        <w:lang w:val="en-US" w:eastAsia="en-US" w:bidi="en-US"/>
      </w:rPr>
    </w:lvl>
    <w:lvl w:ilvl="7">
      <w:start w:val="0"/>
      <w:numFmt w:val="bullet"/>
      <w:lvlText w:val="•"/>
      <w:lvlJc w:val="left"/>
      <w:pPr>
        <w:ind w:left="7728" w:hanging="720"/>
      </w:pPr>
      <w:rPr>
        <w:rFonts w:hint="default"/>
        <w:lang w:val="en-US" w:eastAsia="en-US" w:bidi="en-US"/>
      </w:rPr>
    </w:lvl>
    <w:lvl w:ilvl="8">
      <w:start w:val="0"/>
      <w:numFmt w:val="bullet"/>
      <w:lvlText w:val="•"/>
      <w:lvlJc w:val="left"/>
      <w:pPr>
        <w:ind w:left="8712" w:hanging="720"/>
      </w:pPr>
      <w:rPr>
        <w:rFonts w:hint="default"/>
        <w:lang w:val="en-US" w:eastAsia="en-US" w:bidi="en-US"/>
      </w:rPr>
    </w:lvl>
  </w:abstractNum>
  <w:abstractNum w:abstractNumId="5">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4" w:hanging="721"/>
      </w:pPr>
      <w:rPr>
        <w:rFonts w:hint="default"/>
        <w:lang w:val="en-US" w:eastAsia="en-US" w:bidi="en-US"/>
      </w:rPr>
    </w:lvl>
    <w:lvl w:ilvl="2">
      <w:start w:val="0"/>
      <w:numFmt w:val="bullet"/>
      <w:lvlText w:val="•"/>
      <w:lvlJc w:val="left"/>
      <w:pPr>
        <w:ind w:left="2808" w:hanging="721"/>
      </w:pPr>
      <w:rPr>
        <w:rFonts w:hint="default"/>
        <w:lang w:val="en-US" w:eastAsia="en-US" w:bidi="en-US"/>
      </w:rPr>
    </w:lvl>
    <w:lvl w:ilvl="3">
      <w:start w:val="0"/>
      <w:numFmt w:val="bullet"/>
      <w:lvlText w:val="•"/>
      <w:lvlJc w:val="left"/>
      <w:pPr>
        <w:ind w:left="3792" w:hanging="721"/>
      </w:pPr>
      <w:rPr>
        <w:rFonts w:hint="default"/>
        <w:lang w:val="en-US" w:eastAsia="en-US" w:bidi="en-US"/>
      </w:rPr>
    </w:lvl>
    <w:lvl w:ilvl="4">
      <w:start w:val="0"/>
      <w:numFmt w:val="bullet"/>
      <w:lvlText w:val="•"/>
      <w:lvlJc w:val="left"/>
      <w:pPr>
        <w:ind w:left="4776" w:hanging="721"/>
      </w:pPr>
      <w:rPr>
        <w:rFonts w:hint="default"/>
        <w:lang w:val="en-US" w:eastAsia="en-US" w:bidi="en-US"/>
      </w:rPr>
    </w:lvl>
    <w:lvl w:ilvl="5">
      <w:start w:val="0"/>
      <w:numFmt w:val="bullet"/>
      <w:lvlText w:val="•"/>
      <w:lvlJc w:val="left"/>
      <w:pPr>
        <w:ind w:left="5760" w:hanging="721"/>
      </w:pPr>
      <w:rPr>
        <w:rFonts w:hint="default"/>
        <w:lang w:val="en-US" w:eastAsia="en-US" w:bidi="en-US"/>
      </w:rPr>
    </w:lvl>
    <w:lvl w:ilvl="6">
      <w:start w:val="0"/>
      <w:numFmt w:val="bullet"/>
      <w:lvlText w:val="•"/>
      <w:lvlJc w:val="left"/>
      <w:pPr>
        <w:ind w:left="6744" w:hanging="721"/>
      </w:pPr>
      <w:rPr>
        <w:rFonts w:hint="default"/>
        <w:lang w:val="en-US" w:eastAsia="en-US" w:bidi="en-US"/>
      </w:rPr>
    </w:lvl>
    <w:lvl w:ilvl="7">
      <w:start w:val="0"/>
      <w:numFmt w:val="bullet"/>
      <w:lvlText w:val="•"/>
      <w:lvlJc w:val="left"/>
      <w:pPr>
        <w:ind w:left="7728" w:hanging="721"/>
      </w:pPr>
      <w:rPr>
        <w:rFonts w:hint="default"/>
        <w:lang w:val="en-US" w:eastAsia="en-US" w:bidi="en-US"/>
      </w:rPr>
    </w:lvl>
    <w:lvl w:ilvl="8">
      <w:start w:val="0"/>
      <w:numFmt w:val="bullet"/>
      <w:lvlText w:val="•"/>
      <w:lvlJc w:val="left"/>
      <w:pPr>
        <w:ind w:left="8712" w:hanging="721"/>
      </w:pPr>
      <w:rPr>
        <w:rFonts w:hint="default"/>
        <w:lang w:val="en-US" w:eastAsia="en-US" w:bidi="en-US"/>
      </w:rPr>
    </w:lvl>
  </w:abstractNum>
  <w:abstractNum w:abstractNumId="4">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4" w:hanging="721"/>
      </w:pPr>
      <w:rPr>
        <w:rFonts w:hint="default"/>
        <w:lang w:val="en-US" w:eastAsia="en-US" w:bidi="en-US"/>
      </w:rPr>
    </w:lvl>
    <w:lvl w:ilvl="2">
      <w:start w:val="0"/>
      <w:numFmt w:val="bullet"/>
      <w:lvlText w:val="•"/>
      <w:lvlJc w:val="left"/>
      <w:pPr>
        <w:ind w:left="2808" w:hanging="721"/>
      </w:pPr>
      <w:rPr>
        <w:rFonts w:hint="default"/>
        <w:lang w:val="en-US" w:eastAsia="en-US" w:bidi="en-US"/>
      </w:rPr>
    </w:lvl>
    <w:lvl w:ilvl="3">
      <w:start w:val="0"/>
      <w:numFmt w:val="bullet"/>
      <w:lvlText w:val="•"/>
      <w:lvlJc w:val="left"/>
      <w:pPr>
        <w:ind w:left="3792" w:hanging="721"/>
      </w:pPr>
      <w:rPr>
        <w:rFonts w:hint="default"/>
        <w:lang w:val="en-US" w:eastAsia="en-US" w:bidi="en-US"/>
      </w:rPr>
    </w:lvl>
    <w:lvl w:ilvl="4">
      <w:start w:val="0"/>
      <w:numFmt w:val="bullet"/>
      <w:lvlText w:val="•"/>
      <w:lvlJc w:val="left"/>
      <w:pPr>
        <w:ind w:left="4776" w:hanging="721"/>
      </w:pPr>
      <w:rPr>
        <w:rFonts w:hint="default"/>
        <w:lang w:val="en-US" w:eastAsia="en-US" w:bidi="en-US"/>
      </w:rPr>
    </w:lvl>
    <w:lvl w:ilvl="5">
      <w:start w:val="0"/>
      <w:numFmt w:val="bullet"/>
      <w:lvlText w:val="•"/>
      <w:lvlJc w:val="left"/>
      <w:pPr>
        <w:ind w:left="5760" w:hanging="721"/>
      </w:pPr>
      <w:rPr>
        <w:rFonts w:hint="default"/>
        <w:lang w:val="en-US" w:eastAsia="en-US" w:bidi="en-US"/>
      </w:rPr>
    </w:lvl>
    <w:lvl w:ilvl="6">
      <w:start w:val="0"/>
      <w:numFmt w:val="bullet"/>
      <w:lvlText w:val="•"/>
      <w:lvlJc w:val="left"/>
      <w:pPr>
        <w:ind w:left="6744" w:hanging="721"/>
      </w:pPr>
      <w:rPr>
        <w:rFonts w:hint="default"/>
        <w:lang w:val="en-US" w:eastAsia="en-US" w:bidi="en-US"/>
      </w:rPr>
    </w:lvl>
    <w:lvl w:ilvl="7">
      <w:start w:val="0"/>
      <w:numFmt w:val="bullet"/>
      <w:lvlText w:val="•"/>
      <w:lvlJc w:val="left"/>
      <w:pPr>
        <w:ind w:left="7728" w:hanging="721"/>
      </w:pPr>
      <w:rPr>
        <w:rFonts w:hint="default"/>
        <w:lang w:val="en-US" w:eastAsia="en-US" w:bidi="en-US"/>
      </w:rPr>
    </w:lvl>
    <w:lvl w:ilvl="8">
      <w:start w:val="0"/>
      <w:numFmt w:val="bullet"/>
      <w:lvlText w:val="•"/>
      <w:lvlJc w:val="left"/>
      <w:pPr>
        <w:ind w:left="8712" w:hanging="721"/>
      </w:pPr>
      <w:rPr>
        <w:rFonts w:hint="default"/>
        <w:lang w:val="en-US" w:eastAsia="en-US" w:bidi="en-US"/>
      </w:rPr>
    </w:lvl>
  </w:abstractNum>
  <w:abstractNum w:abstractNumId="3">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4" w:hanging="721"/>
      </w:pPr>
      <w:rPr>
        <w:rFonts w:hint="default"/>
        <w:lang w:val="en-US" w:eastAsia="en-US" w:bidi="en-US"/>
      </w:rPr>
    </w:lvl>
    <w:lvl w:ilvl="2">
      <w:start w:val="0"/>
      <w:numFmt w:val="bullet"/>
      <w:lvlText w:val="•"/>
      <w:lvlJc w:val="left"/>
      <w:pPr>
        <w:ind w:left="2808" w:hanging="721"/>
      </w:pPr>
      <w:rPr>
        <w:rFonts w:hint="default"/>
        <w:lang w:val="en-US" w:eastAsia="en-US" w:bidi="en-US"/>
      </w:rPr>
    </w:lvl>
    <w:lvl w:ilvl="3">
      <w:start w:val="0"/>
      <w:numFmt w:val="bullet"/>
      <w:lvlText w:val="•"/>
      <w:lvlJc w:val="left"/>
      <w:pPr>
        <w:ind w:left="3792" w:hanging="721"/>
      </w:pPr>
      <w:rPr>
        <w:rFonts w:hint="default"/>
        <w:lang w:val="en-US" w:eastAsia="en-US" w:bidi="en-US"/>
      </w:rPr>
    </w:lvl>
    <w:lvl w:ilvl="4">
      <w:start w:val="0"/>
      <w:numFmt w:val="bullet"/>
      <w:lvlText w:val="•"/>
      <w:lvlJc w:val="left"/>
      <w:pPr>
        <w:ind w:left="4776" w:hanging="721"/>
      </w:pPr>
      <w:rPr>
        <w:rFonts w:hint="default"/>
        <w:lang w:val="en-US" w:eastAsia="en-US" w:bidi="en-US"/>
      </w:rPr>
    </w:lvl>
    <w:lvl w:ilvl="5">
      <w:start w:val="0"/>
      <w:numFmt w:val="bullet"/>
      <w:lvlText w:val="•"/>
      <w:lvlJc w:val="left"/>
      <w:pPr>
        <w:ind w:left="5760" w:hanging="721"/>
      </w:pPr>
      <w:rPr>
        <w:rFonts w:hint="default"/>
        <w:lang w:val="en-US" w:eastAsia="en-US" w:bidi="en-US"/>
      </w:rPr>
    </w:lvl>
    <w:lvl w:ilvl="6">
      <w:start w:val="0"/>
      <w:numFmt w:val="bullet"/>
      <w:lvlText w:val="•"/>
      <w:lvlJc w:val="left"/>
      <w:pPr>
        <w:ind w:left="6744" w:hanging="721"/>
      </w:pPr>
      <w:rPr>
        <w:rFonts w:hint="default"/>
        <w:lang w:val="en-US" w:eastAsia="en-US" w:bidi="en-US"/>
      </w:rPr>
    </w:lvl>
    <w:lvl w:ilvl="7">
      <w:start w:val="0"/>
      <w:numFmt w:val="bullet"/>
      <w:lvlText w:val="•"/>
      <w:lvlJc w:val="left"/>
      <w:pPr>
        <w:ind w:left="7728" w:hanging="721"/>
      </w:pPr>
      <w:rPr>
        <w:rFonts w:hint="default"/>
        <w:lang w:val="en-US" w:eastAsia="en-US" w:bidi="en-US"/>
      </w:rPr>
    </w:lvl>
    <w:lvl w:ilvl="8">
      <w:start w:val="0"/>
      <w:numFmt w:val="bullet"/>
      <w:lvlText w:val="•"/>
      <w:lvlJc w:val="left"/>
      <w:pPr>
        <w:ind w:left="8712" w:hanging="721"/>
      </w:pPr>
      <w:rPr>
        <w:rFonts w:hint="default"/>
        <w:lang w:val="en-US" w:eastAsia="en-US" w:bidi="en-US"/>
      </w:rPr>
    </w:lvl>
  </w:abstractNum>
  <w:abstractNum w:abstractNumId="2">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4" w:hanging="721"/>
      </w:pPr>
      <w:rPr>
        <w:rFonts w:hint="default"/>
        <w:lang w:val="en-US" w:eastAsia="en-US" w:bidi="en-US"/>
      </w:rPr>
    </w:lvl>
    <w:lvl w:ilvl="2">
      <w:start w:val="0"/>
      <w:numFmt w:val="bullet"/>
      <w:lvlText w:val="•"/>
      <w:lvlJc w:val="left"/>
      <w:pPr>
        <w:ind w:left="2808" w:hanging="721"/>
      </w:pPr>
      <w:rPr>
        <w:rFonts w:hint="default"/>
        <w:lang w:val="en-US" w:eastAsia="en-US" w:bidi="en-US"/>
      </w:rPr>
    </w:lvl>
    <w:lvl w:ilvl="3">
      <w:start w:val="0"/>
      <w:numFmt w:val="bullet"/>
      <w:lvlText w:val="•"/>
      <w:lvlJc w:val="left"/>
      <w:pPr>
        <w:ind w:left="3792" w:hanging="721"/>
      </w:pPr>
      <w:rPr>
        <w:rFonts w:hint="default"/>
        <w:lang w:val="en-US" w:eastAsia="en-US" w:bidi="en-US"/>
      </w:rPr>
    </w:lvl>
    <w:lvl w:ilvl="4">
      <w:start w:val="0"/>
      <w:numFmt w:val="bullet"/>
      <w:lvlText w:val="•"/>
      <w:lvlJc w:val="left"/>
      <w:pPr>
        <w:ind w:left="4776" w:hanging="721"/>
      </w:pPr>
      <w:rPr>
        <w:rFonts w:hint="default"/>
        <w:lang w:val="en-US" w:eastAsia="en-US" w:bidi="en-US"/>
      </w:rPr>
    </w:lvl>
    <w:lvl w:ilvl="5">
      <w:start w:val="0"/>
      <w:numFmt w:val="bullet"/>
      <w:lvlText w:val="•"/>
      <w:lvlJc w:val="left"/>
      <w:pPr>
        <w:ind w:left="5760" w:hanging="721"/>
      </w:pPr>
      <w:rPr>
        <w:rFonts w:hint="default"/>
        <w:lang w:val="en-US" w:eastAsia="en-US" w:bidi="en-US"/>
      </w:rPr>
    </w:lvl>
    <w:lvl w:ilvl="6">
      <w:start w:val="0"/>
      <w:numFmt w:val="bullet"/>
      <w:lvlText w:val="•"/>
      <w:lvlJc w:val="left"/>
      <w:pPr>
        <w:ind w:left="6744" w:hanging="721"/>
      </w:pPr>
      <w:rPr>
        <w:rFonts w:hint="default"/>
        <w:lang w:val="en-US" w:eastAsia="en-US" w:bidi="en-US"/>
      </w:rPr>
    </w:lvl>
    <w:lvl w:ilvl="7">
      <w:start w:val="0"/>
      <w:numFmt w:val="bullet"/>
      <w:lvlText w:val="•"/>
      <w:lvlJc w:val="left"/>
      <w:pPr>
        <w:ind w:left="7728" w:hanging="721"/>
      </w:pPr>
      <w:rPr>
        <w:rFonts w:hint="default"/>
        <w:lang w:val="en-US" w:eastAsia="en-US" w:bidi="en-US"/>
      </w:rPr>
    </w:lvl>
    <w:lvl w:ilvl="8">
      <w:start w:val="0"/>
      <w:numFmt w:val="bullet"/>
      <w:lvlText w:val="•"/>
      <w:lvlJc w:val="left"/>
      <w:pPr>
        <w:ind w:left="8712" w:hanging="721"/>
      </w:pPr>
      <w:rPr>
        <w:rFonts w:hint="default"/>
        <w:lang w:val="en-US" w:eastAsia="en-US" w:bidi="en-US"/>
      </w:rPr>
    </w:lvl>
  </w:abstractNum>
  <w:abstractNum w:abstractNumId="1">
    <w:multiLevelType w:val="hybridMultilevel"/>
    <w:lvl w:ilvl="0">
      <w:start w:val="1"/>
      <w:numFmt w:val="lowerLetter"/>
      <w:lvlText w:val="%1)"/>
      <w:lvlJc w:val="left"/>
      <w:pPr>
        <w:ind w:left="840" w:hanging="721"/>
        <w:jc w:val="left"/>
      </w:pPr>
      <w:rPr>
        <w:rFonts w:hint="default" w:ascii="Arial" w:hAnsi="Arial" w:eastAsia="Arial" w:cs="Arial"/>
        <w:b/>
        <w:bCs/>
        <w:w w:val="100"/>
        <w:sz w:val="20"/>
        <w:szCs w:val="20"/>
        <w:lang w:val="en-US" w:eastAsia="en-US" w:bidi="en-US"/>
      </w:rPr>
    </w:lvl>
    <w:lvl w:ilvl="1">
      <w:start w:val="0"/>
      <w:numFmt w:val="bullet"/>
      <w:lvlText w:val="•"/>
      <w:lvlJc w:val="left"/>
      <w:pPr>
        <w:ind w:left="1824" w:hanging="721"/>
      </w:pPr>
      <w:rPr>
        <w:rFonts w:hint="default"/>
        <w:lang w:val="en-US" w:eastAsia="en-US" w:bidi="en-US"/>
      </w:rPr>
    </w:lvl>
    <w:lvl w:ilvl="2">
      <w:start w:val="0"/>
      <w:numFmt w:val="bullet"/>
      <w:lvlText w:val="•"/>
      <w:lvlJc w:val="left"/>
      <w:pPr>
        <w:ind w:left="2808" w:hanging="721"/>
      </w:pPr>
      <w:rPr>
        <w:rFonts w:hint="default"/>
        <w:lang w:val="en-US" w:eastAsia="en-US" w:bidi="en-US"/>
      </w:rPr>
    </w:lvl>
    <w:lvl w:ilvl="3">
      <w:start w:val="0"/>
      <w:numFmt w:val="bullet"/>
      <w:lvlText w:val="•"/>
      <w:lvlJc w:val="left"/>
      <w:pPr>
        <w:ind w:left="3792" w:hanging="721"/>
      </w:pPr>
      <w:rPr>
        <w:rFonts w:hint="default"/>
        <w:lang w:val="en-US" w:eastAsia="en-US" w:bidi="en-US"/>
      </w:rPr>
    </w:lvl>
    <w:lvl w:ilvl="4">
      <w:start w:val="0"/>
      <w:numFmt w:val="bullet"/>
      <w:lvlText w:val="•"/>
      <w:lvlJc w:val="left"/>
      <w:pPr>
        <w:ind w:left="4776" w:hanging="721"/>
      </w:pPr>
      <w:rPr>
        <w:rFonts w:hint="default"/>
        <w:lang w:val="en-US" w:eastAsia="en-US" w:bidi="en-US"/>
      </w:rPr>
    </w:lvl>
    <w:lvl w:ilvl="5">
      <w:start w:val="0"/>
      <w:numFmt w:val="bullet"/>
      <w:lvlText w:val="•"/>
      <w:lvlJc w:val="left"/>
      <w:pPr>
        <w:ind w:left="5760" w:hanging="721"/>
      </w:pPr>
      <w:rPr>
        <w:rFonts w:hint="default"/>
        <w:lang w:val="en-US" w:eastAsia="en-US" w:bidi="en-US"/>
      </w:rPr>
    </w:lvl>
    <w:lvl w:ilvl="6">
      <w:start w:val="0"/>
      <w:numFmt w:val="bullet"/>
      <w:lvlText w:val="•"/>
      <w:lvlJc w:val="left"/>
      <w:pPr>
        <w:ind w:left="6744" w:hanging="721"/>
      </w:pPr>
      <w:rPr>
        <w:rFonts w:hint="default"/>
        <w:lang w:val="en-US" w:eastAsia="en-US" w:bidi="en-US"/>
      </w:rPr>
    </w:lvl>
    <w:lvl w:ilvl="7">
      <w:start w:val="0"/>
      <w:numFmt w:val="bullet"/>
      <w:lvlText w:val="•"/>
      <w:lvlJc w:val="left"/>
      <w:pPr>
        <w:ind w:left="7728" w:hanging="721"/>
      </w:pPr>
      <w:rPr>
        <w:rFonts w:hint="default"/>
        <w:lang w:val="en-US" w:eastAsia="en-US" w:bidi="en-US"/>
      </w:rPr>
    </w:lvl>
    <w:lvl w:ilvl="8">
      <w:start w:val="0"/>
      <w:numFmt w:val="bullet"/>
      <w:lvlText w:val="•"/>
      <w:lvlJc w:val="left"/>
      <w:pPr>
        <w:ind w:left="8712" w:hanging="721"/>
      </w:pPr>
      <w:rPr>
        <w:rFonts w:hint="default"/>
        <w:lang w:val="en-US" w:eastAsia="en-US" w:bidi="en-US"/>
      </w:rPr>
    </w:lvl>
  </w:abstractNum>
  <w:abstractNum w:abstractNumId="0">
    <w:multiLevelType w:val="hybridMultilevel"/>
    <w:lvl w:ilvl="0">
      <w:start w:val="1"/>
      <w:numFmt w:val="decimal"/>
      <w:lvlText w:val="%1."/>
      <w:lvlJc w:val="left"/>
      <w:pPr>
        <w:ind w:left="840" w:hanging="720"/>
        <w:jc w:val="left"/>
      </w:pPr>
      <w:rPr>
        <w:rFonts w:hint="default"/>
        <w:w w:val="100"/>
        <w:lang w:val="en-US" w:eastAsia="en-US" w:bidi="en-US"/>
      </w:rPr>
    </w:lvl>
    <w:lvl w:ilvl="1">
      <w:start w:val="0"/>
      <w:numFmt w:val="bullet"/>
      <w:lvlText w:val=""/>
      <w:lvlJc w:val="left"/>
      <w:pPr>
        <w:ind w:left="1559" w:hanging="721"/>
      </w:pPr>
      <w:rPr>
        <w:rFonts w:hint="default" w:ascii="Symbol" w:hAnsi="Symbol" w:eastAsia="Symbol" w:cs="Symbol"/>
        <w:w w:val="100"/>
        <w:sz w:val="20"/>
        <w:szCs w:val="20"/>
        <w:lang w:val="en-US" w:eastAsia="en-US" w:bidi="en-US"/>
      </w:rPr>
    </w:lvl>
    <w:lvl w:ilvl="2">
      <w:start w:val="0"/>
      <w:numFmt w:val="bullet"/>
      <w:lvlText w:val="•"/>
      <w:lvlJc w:val="left"/>
      <w:pPr>
        <w:ind w:left="2573" w:hanging="721"/>
      </w:pPr>
      <w:rPr>
        <w:rFonts w:hint="default"/>
        <w:lang w:val="en-US" w:eastAsia="en-US" w:bidi="en-US"/>
      </w:rPr>
    </w:lvl>
    <w:lvl w:ilvl="3">
      <w:start w:val="0"/>
      <w:numFmt w:val="bullet"/>
      <w:lvlText w:val="•"/>
      <w:lvlJc w:val="left"/>
      <w:pPr>
        <w:ind w:left="3586" w:hanging="721"/>
      </w:pPr>
      <w:rPr>
        <w:rFonts w:hint="default"/>
        <w:lang w:val="en-US" w:eastAsia="en-US" w:bidi="en-US"/>
      </w:rPr>
    </w:lvl>
    <w:lvl w:ilvl="4">
      <w:start w:val="0"/>
      <w:numFmt w:val="bullet"/>
      <w:lvlText w:val="•"/>
      <w:lvlJc w:val="left"/>
      <w:pPr>
        <w:ind w:left="4600" w:hanging="721"/>
      </w:pPr>
      <w:rPr>
        <w:rFonts w:hint="default"/>
        <w:lang w:val="en-US" w:eastAsia="en-US" w:bidi="en-US"/>
      </w:rPr>
    </w:lvl>
    <w:lvl w:ilvl="5">
      <w:start w:val="0"/>
      <w:numFmt w:val="bullet"/>
      <w:lvlText w:val="•"/>
      <w:lvlJc w:val="left"/>
      <w:pPr>
        <w:ind w:left="5613" w:hanging="721"/>
      </w:pPr>
      <w:rPr>
        <w:rFonts w:hint="default"/>
        <w:lang w:val="en-US" w:eastAsia="en-US" w:bidi="en-US"/>
      </w:rPr>
    </w:lvl>
    <w:lvl w:ilvl="6">
      <w:start w:val="0"/>
      <w:numFmt w:val="bullet"/>
      <w:lvlText w:val="•"/>
      <w:lvlJc w:val="left"/>
      <w:pPr>
        <w:ind w:left="6626" w:hanging="721"/>
      </w:pPr>
      <w:rPr>
        <w:rFonts w:hint="default"/>
        <w:lang w:val="en-US" w:eastAsia="en-US" w:bidi="en-US"/>
      </w:rPr>
    </w:lvl>
    <w:lvl w:ilvl="7">
      <w:start w:val="0"/>
      <w:numFmt w:val="bullet"/>
      <w:lvlText w:val="•"/>
      <w:lvlJc w:val="left"/>
      <w:pPr>
        <w:ind w:left="7640" w:hanging="721"/>
      </w:pPr>
      <w:rPr>
        <w:rFonts w:hint="default"/>
        <w:lang w:val="en-US" w:eastAsia="en-US" w:bidi="en-US"/>
      </w:rPr>
    </w:lvl>
    <w:lvl w:ilvl="8">
      <w:start w:val="0"/>
      <w:numFmt w:val="bullet"/>
      <w:lvlText w:val="•"/>
      <w:lvlJc w:val="left"/>
      <w:pPr>
        <w:ind w:left="8653" w:hanging="721"/>
      </w:pPr>
      <w:rPr>
        <w:rFonts w:hint="default"/>
        <w:lang w:val="en-US" w:eastAsia="en-US" w:bidi="en-U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ind w:left="840" w:hanging="721"/>
      <w:outlineLvl w:val="1"/>
    </w:pPr>
    <w:rPr>
      <w:rFonts w:ascii="Arial" w:hAnsi="Arial" w:eastAsia="Arial" w:cs="Arial"/>
      <w:b/>
      <w:bCs/>
      <w:sz w:val="20"/>
      <w:szCs w:val="20"/>
      <w:u w:val="single" w:color="000000"/>
      <w:lang w:val="en-US" w:eastAsia="en-US" w:bidi="en-US"/>
    </w:rPr>
  </w:style>
  <w:style w:styleId="ListParagraph" w:type="paragraph">
    <w:name w:val="List Paragraph"/>
    <w:basedOn w:val="Normal"/>
    <w:uiPriority w:val="1"/>
    <w:qFormat/>
    <w:pPr>
      <w:ind w:left="840" w:right="1196" w:hanging="721"/>
      <w:jc w:val="both"/>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3.png"/><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image" Target="media/image4.jpeg"/><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Wheatley</dc:creator>
  <dcterms:created xsi:type="dcterms:W3CDTF">2021-12-27T02:22:08Z</dcterms:created>
  <dcterms:modified xsi:type="dcterms:W3CDTF">2021-12-27T02:22:08Z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Adobe Acrobat Pro 2017 17.11.30188</vt:lpwstr>
  </property>
  <property fmtid="{D5CDD505-2E9C-101B-9397-08002B2CF9AE}" pid="4" name="LastSaved">
    <vt:filetime>2021-12-27T00:00:00Z</vt:filetime>
  </property>
</Properties>
</file>