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0" w:right="1898" w:firstLine="0"/>
        <w:jc w:val="right"/>
        <w:rPr>
          <w:b/>
          <w:sz w:val="18"/>
        </w:rPr>
      </w:pPr>
      <w:r>
        <w:rPr/>
        <w:pict>
          <v:group style="position:absolute;margin-left:442.080017pt;margin-top:12.912367pt;width:123.15pt;height:123.25pt;mso-position-horizontal-relative:page;mso-position-vertical-relative:paragraph;z-index:251664384" coordorigin="8842,258" coordsize="2463,2465">
            <v:line style="position:absolute" from="9175,495" to="10882,495" stroked="true" strokeweight=".600002pt" strokecolor="#000000">
              <v:stroke dashstyle="solid"/>
            </v:line>
            <v:line style="position:absolute" from="9181,498" to="9181,971" stroked="true" strokeweight=".59999pt" strokecolor="#000000">
              <v:stroke dashstyle="solid"/>
            </v:line>
            <v:line style="position:absolute" from="9181,969" to="9181,1441" stroked="true" strokeweight=".59999pt" strokecolor="#000000">
              <v:stroke dashstyle="solid"/>
            </v:line>
            <v:line style="position:absolute" from="9181,1439" to="9181,1909" stroked="true" strokeweight=".59999pt" strokecolor="#000000">
              <v:stroke dashstyle="solid"/>
            </v:line>
            <v:line style="position:absolute" from="10885,489" to="10885,1921" stroked="true" strokeweight=".600007pt" strokecolor="#000000">
              <v:stroke dashstyle="solid"/>
            </v:line>
            <v:line style="position:absolute" from="9175,1915" to="10882,1915" stroked="true" strokeweight=".600002pt" strokecolor="#000000">
              <v:stroke dashstyle="solid"/>
            </v:line>
            <v:shape style="position:absolute;left:8841;top:258;width:2463;height:2465" type="#_x0000_t75" stroked="false">
              <v:imagedata r:id="rId5" o:title=""/>
            </v:shape>
            <v:shapetype id="_x0000_t202" o:spt="202" coordsize="21600,21600" path="m,l,21600r21600,l21600,xe">
              <v:stroke joinstyle="miter"/>
              <v:path gradientshapeok="t" o:connecttype="rect"/>
            </v:shapetype>
            <v:shape style="position:absolute;left:9360;top:287;width:990;height:202" type="#_x0000_t202" filled="false" stroked="false">
              <v:textbox inset="0,0,0,0">
                <w:txbxContent>
                  <w:p>
                    <w:pPr>
                      <w:spacing w:line="201" w:lineRule="exact" w:before="0"/>
                      <w:ind w:left="0" w:right="0" w:firstLine="0"/>
                      <w:jc w:val="left"/>
                      <w:rPr>
                        <w:sz w:val="18"/>
                      </w:rPr>
                    </w:pPr>
                    <w:r>
                      <w:rPr>
                        <w:sz w:val="18"/>
                      </w:rPr>
                      <w:t>[Rule 13.19]</w:t>
                    </w:r>
                  </w:p>
                </w:txbxContent>
              </v:textbox>
              <w10:wrap type="none"/>
            </v:shape>
            <v:shape style="position:absolute;left:9417;top:1382;width:1317;height:255" type="#_x0000_t202" filled="false" stroked="false">
              <v:textbox inset="0,0,0,0">
                <w:txbxContent>
                  <w:p>
                    <w:pPr>
                      <w:spacing w:line="254" w:lineRule="exact" w:before="0"/>
                      <w:ind w:left="0" w:right="0" w:firstLine="0"/>
                      <w:jc w:val="left"/>
                      <w:rPr>
                        <w:rFonts w:ascii="Calibri"/>
                        <w:b/>
                        <w:sz w:val="25"/>
                      </w:rPr>
                    </w:pPr>
                    <w:r>
                      <w:rPr>
                        <w:rFonts w:ascii="Calibri"/>
                        <w:b/>
                        <w:color w:val="00003F"/>
                        <w:sz w:val="25"/>
                      </w:rPr>
                      <w:t>Jan 28, 2021</w:t>
                    </w:r>
                  </w:p>
                </w:txbxContent>
              </v:textbox>
              <w10:wrap type="none"/>
            </v:shape>
            <v:shape style="position:absolute;left:9539;top:860;width:1089;height:480" type="#_x0000_t202" filled="false" stroked="false">
              <v:textbox inset="0,0,0,0">
                <w:txbxContent>
                  <w:p>
                    <w:pPr>
                      <w:spacing w:line="480" w:lineRule="exact" w:before="0"/>
                      <w:ind w:left="0" w:right="0" w:firstLine="0"/>
                      <w:jc w:val="left"/>
                      <w:rPr>
                        <w:rFonts w:ascii="Calibri"/>
                        <w:sz w:val="48"/>
                      </w:rPr>
                    </w:pPr>
                    <w:r>
                      <w:rPr>
                        <w:rFonts w:ascii="Calibri"/>
                        <w:color w:val="001F60"/>
                        <w:sz w:val="48"/>
                      </w:rPr>
                      <w:t>FILED</w:t>
                    </w:r>
                  </w:p>
                </w:txbxContent>
              </v:textbox>
              <w10:wrap type="none"/>
            </v:shape>
            <v:shape style="position:absolute;left:9472;top:748;width:1141;height:224" type="#_x0000_t202" filled="false" stroked="false">
              <v:textbox inset="0,0,0,0">
                <w:txbxContent>
                  <w:p>
                    <w:pPr>
                      <w:spacing w:line="223" w:lineRule="exact" w:before="0"/>
                      <w:ind w:left="0" w:right="0" w:firstLine="0"/>
                      <w:jc w:val="left"/>
                      <w:rPr>
                        <w:rFonts w:ascii="Times New Roman"/>
                        <w:sz w:val="20"/>
                      </w:rPr>
                    </w:pPr>
                    <w:r>
                      <w:rPr>
                        <w:rFonts w:ascii="Times New Roman"/>
                        <w:sz w:val="20"/>
                      </w:rPr>
                      <w:t>Clerk's Stamp</w:t>
                    </w:r>
                  </w:p>
                </w:txbxContent>
              </v:textbox>
              <w10:wrap type="none"/>
            </v:shape>
            <w10:wrap type="none"/>
          </v:group>
        </w:pict>
      </w:r>
      <w:r>
        <w:rPr>
          <w:b/>
          <w:sz w:val="18"/>
        </w:rPr>
        <w:t>Form 49</w:t>
      </w:r>
    </w:p>
    <w:p>
      <w:pPr>
        <w:pStyle w:val="BodyText"/>
        <w:rPr>
          <w:b/>
        </w:rPr>
      </w:pPr>
    </w:p>
    <w:p>
      <w:pPr>
        <w:spacing w:after="0"/>
        <w:sectPr>
          <w:type w:val="continuous"/>
          <w:pgSz w:w="12240" w:h="15840"/>
          <w:pgMar w:top="1220" w:bottom="0" w:left="1320" w:right="280"/>
        </w:sectPr>
      </w:pPr>
    </w:p>
    <w:p>
      <w:pPr>
        <w:pStyle w:val="BodyText"/>
        <w:spacing w:before="9"/>
        <w:rPr>
          <w:b/>
          <w:sz w:val="19"/>
        </w:rPr>
      </w:pPr>
    </w:p>
    <w:p>
      <w:pPr>
        <w:pStyle w:val="BodyText"/>
        <w:spacing w:before="1"/>
        <w:ind w:left="228"/>
      </w:pPr>
      <w:r>
        <w:rPr/>
        <w:t>COURT FILE NUMBER</w:t>
      </w:r>
    </w:p>
    <w:p>
      <w:pPr>
        <w:pStyle w:val="BodyText"/>
        <w:rPr>
          <w:sz w:val="23"/>
        </w:rPr>
      </w:pPr>
      <w:r>
        <w:rPr/>
        <w:br w:type="column"/>
      </w:r>
      <w:r>
        <w:rPr>
          <w:sz w:val="23"/>
        </w:rPr>
      </w:r>
    </w:p>
    <w:p>
      <w:pPr>
        <w:spacing w:before="0"/>
        <w:ind w:left="228" w:right="0" w:firstLine="0"/>
        <w:jc w:val="left"/>
        <w:rPr>
          <w:sz w:val="24"/>
        </w:rPr>
      </w:pPr>
      <w:r>
        <w:rPr>
          <w:sz w:val="24"/>
        </w:rPr>
        <w:t>2101-00313</w:t>
      </w:r>
    </w:p>
    <w:p>
      <w:pPr>
        <w:spacing w:after="0"/>
        <w:jc w:val="left"/>
        <w:rPr>
          <w:sz w:val="24"/>
        </w:rPr>
        <w:sectPr>
          <w:type w:val="continuous"/>
          <w:pgSz w:w="12240" w:h="15840"/>
          <w:pgMar w:top="1220" w:bottom="0" w:left="1320" w:right="280"/>
          <w:cols w:num="2" w:equalWidth="0">
            <w:col w:w="2382" w:space="469"/>
            <w:col w:w="7789"/>
          </w:cols>
        </w:sectPr>
      </w:pPr>
    </w:p>
    <w:p>
      <w:pPr>
        <w:pStyle w:val="BodyText"/>
        <w:tabs>
          <w:tab w:pos="3108" w:val="left" w:leader="none"/>
        </w:tabs>
        <w:spacing w:before="158"/>
        <w:ind w:left="228"/>
      </w:pPr>
      <w:r>
        <w:rPr/>
        <w:t>COURT</w:t>
        <w:tab/>
        <w:t>COURT OF QUEEN’S BENCH FOR</w:t>
      </w:r>
      <w:r>
        <w:rPr>
          <w:spacing w:val="-10"/>
        </w:rPr>
        <w:t> </w:t>
      </w:r>
      <w:r>
        <w:rPr/>
        <w:t>ALBERTA</w:t>
      </w:r>
    </w:p>
    <w:p>
      <w:pPr>
        <w:pStyle w:val="BodyText"/>
        <w:spacing w:before="5"/>
        <w:rPr>
          <w:sz w:val="12"/>
        </w:rPr>
      </w:pPr>
    </w:p>
    <w:p>
      <w:pPr>
        <w:pStyle w:val="BodyText"/>
        <w:tabs>
          <w:tab w:pos="3108" w:val="left" w:leader="none"/>
        </w:tabs>
        <w:spacing w:before="95"/>
        <w:ind w:left="228"/>
      </w:pPr>
      <w:r>
        <w:rPr/>
        <w:t>JUDICIAL</w:t>
      </w:r>
      <w:r>
        <w:rPr>
          <w:spacing w:val="-3"/>
        </w:rPr>
        <w:t> </w:t>
      </w:r>
      <w:r>
        <w:rPr/>
        <w:t>CENTRE</w:t>
        <w:tab/>
        <w:t>CALGARY</w:t>
      </w:r>
    </w:p>
    <w:p>
      <w:pPr>
        <w:pStyle w:val="BodyText"/>
        <w:spacing w:before="6"/>
        <w:rPr>
          <w:sz w:val="13"/>
        </w:rPr>
      </w:pPr>
    </w:p>
    <w:p>
      <w:pPr>
        <w:pStyle w:val="BodyText"/>
        <w:tabs>
          <w:tab w:pos="3108" w:val="left" w:leader="none"/>
        </w:tabs>
        <w:spacing w:before="95"/>
        <w:ind w:left="228"/>
      </w:pPr>
      <w:r>
        <w:rPr/>
        <w:t>APPLICANT(S)</w:t>
        <w:tab/>
        <w:t>PETER</w:t>
      </w:r>
      <w:r>
        <w:rPr>
          <w:spacing w:val="-3"/>
        </w:rPr>
        <w:t> </w:t>
      </w:r>
      <w:r>
        <w:rPr/>
        <w:t>MATSON</w:t>
      </w:r>
    </w:p>
    <w:p>
      <w:pPr>
        <w:pStyle w:val="BodyText"/>
        <w:spacing w:before="9"/>
        <w:rPr>
          <w:sz w:val="12"/>
        </w:rPr>
      </w:pPr>
    </w:p>
    <w:p>
      <w:pPr>
        <w:spacing w:after="0"/>
        <w:rPr>
          <w:sz w:val="12"/>
        </w:rPr>
        <w:sectPr>
          <w:type w:val="continuous"/>
          <w:pgSz w:w="12240" w:h="15840"/>
          <w:pgMar w:top="1220" w:bottom="0" w:left="1320" w:right="280"/>
        </w:sectPr>
      </w:pPr>
    </w:p>
    <w:p>
      <w:pPr>
        <w:pStyle w:val="BodyText"/>
        <w:spacing w:before="96"/>
        <w:ind w:left="3108"/>
      </w:pPr>
      <w:r>
        <w:rPr/>
        <w:t>GREGORY GEORGE SZABO</w:t>
      </w:r>
    </w:p>
    <w:p>
      <w:pPr>
        <w:pStyle w:val="BodyText"/>
        <w:spacing w:before="7"/>
      </w:pPr>
    </w:p>
    <w:p>
      <w:pPr>
        <w:pStyle w:val="BodyText"/>
        <w:tabs>
          <w:tab w:pos="3108" w:val="left" w:leader="none"/>
        </w:tabs>
        <w:spacing w:before="1"/>
        <w:ind w:left="228"/>
      </w:pPr>
      <w:r>
        <w:rPr/>
        <w:t>RESPONDENT(S)</w:t>
        <w:tab/>
        <w:t>KARNALYTE RESOURCES</w:t>
      </w:r>
      <w:r>
        <w:rPr>
          <w:spacing w:val="-9"/>
        </w:rPr>
        <w:t> </w:t>
      </w:r>
      <w:r>
        <w:rPr/>
        <w:t>INC.</w:t>
      </w:r>
    </w:p>
    <w:p>
      <w:pPr>
        <w:pStyle w:val="BodyText"/>
        <w:spacing w:before="10"/>
      </w:pPr>
    </w:p>
    <w:p>
      <w:pPr>
        <w:pStyle w:val="BodyText"/>
        <w:spacing w:line="491" w:lineRule="auto"/>
        <w:ind w:left="3108" w:right="23"/>
      </w:pPr>
      <w:r>
        <w:rPr/>
        <w:t>GUJARAT STATE FERTILIZERS AND CHEMCIALS LIMITED SANJEEV VARMA</w:t>
      </w:r>
    </w:p>
    <w:p>
      <w:pPr>
        <w:pStyle w:val="BodyText"/>
        <w:spacing w:line="491" w:lineRule="auto"/>
        <w:ind w:left="3108" w:right="3389"/>
      </w:pPr>
      <w:r>
        <w:rPr/>
        <w:t>VISHVESH NANAVATY DC ANJARIA</w:t>
      </w:r>
    </w:p>
    <w:p>
      <w:pPr>
        <w:pStyle w:val="BodyText"/>
        <w:spacing w:line="491" w:lineRule="auto"/>
        <w:ind w:left="3108" w:right="3512"/>
      </w:pPr>
      <w:r>
        <w:rPr/>
        <w:t>GERALD SCHERMAN DANIELLE FAVREAU</w:t>
      </w:r>
    </w:p>
    <w:p>
      <w:pPr>
        <w:tabs>
          <w:tab w:pos="3107" w:val="left" w:leader="none"/>
        </w:tabs>
        <w:spacing w:line="228" w:lineRule="exact" w:before="0"/>
        <w:ind w:left="228" w:right="0" w:firstLine="0"/>
        <w:jc w:val="left"/>
        <w:rPr>
          <w:b/>
          <w:sz w:val="20"/>
        </w:rPr>
      </w:pPr>
      <w:r>
        <w:rPr>
          <w:sz w:val="20"/>
        </w:rPr>
        <w:t>DOCUMENT</w:t>
        <w:tab/>
      </w:r>
      <w:r>
        <w:rPr>
          <w:b/>
          <w:sz w:val="20"/>
        </w:rPr>
        <w:t>ORIGINATING</w:t>
      </w:r>
      <w:r>
        <w:rPr>
          <w:b/>
          <w:spacing w:val="-2"/>
          <w:sz w:val="20"/>
        </w:rPr>
        <w:t> </w:t>
      </w:r>
      <w:r>
        <w:rPr>
          <w:b/>
          <w:sz w:val="20"/>
        </w:rPr>
        <w:t>APPLICATION</w:t>
      </w:r>
    </w:p>
    <w:p>
      <w:pPr>
        <w:pStyle w:val="BodyText"/>
        <w:spacing w:before="1"/>
        <w:rPr>
          <w:b/>
          <w:sz w:val="26"/>
        </w:rPr>
      </w:pPr>
      <w:r>
        <w:rPr/>
        <w:br w:type="column"/>
      </w:r>
      <w:r>
        <w:rPr>
          <w:b/>
          <w:sz w:val="26"/>
        </w:rPr>
      </w:r>
    </w:p>
    <w:p>
      <w:pPr>
        <w:spacing w:before="0"/>
        <w:ind w:left="228" w:right="0" w:firstLine="0"/>
        <w:jc w:val="left"/>
        <w:rPr>
          <w:sz w:val="24"/>
        </w:rPr>
      </w:pPr>
      <w:r>
        <w:rPr>
          <w:sz w:val="24"/>
        </w:rPr>
        <w:t>PM</w:t>
      </w:r>
    </w:p>
    <w:p>
      <w:pPr>
        <w:pStyle w:val="BodyText"/>
        <w:spacing w:before="6"/>
        <w:rPr>
          <w:sz w:val="21"/>
        </w:rPr>
      </w:pPr>
    </w:p>
    <w:p>
      <w:pPr>
        <w:spacing w:before="0"/>
        <w:ind w:left="228" w:right="0" w:firstLine="0"/>
        <w:jc w:val="left"/>
        <w:rPr>
          <w:sz w:val="24"/>
        </w:rPr>
      </w:pPr>
      <w:r>
        <w:rPr>
          <w:sz w:val="24"/>
        </w:rPr>
        <w:t>109305</w:t>
      </w:r>
    </w:p>
    <w:p>
      <w:pPr>
        <w:spacing w:after="0"/>
        <w:jc w:val="left"/>
        <w:rPr>
          <w:sz w:val="24"/>
        </w:rPr>
        <w:sectPr>
          <w:type w:val="continuous"/>
          <w:pgSz w:w="12240" w:h="15840"/>
          <w:pgMar w:top="1220" w:bottom="0" w:left="1320" w:right="280"/>
          <w:cols w:num="2" w:equalWidth="0">
            <w:col w:w="8663" w:space="611"/>
            <w:col w:w="1366"/>
          </w:cols>
        </w:sectPr>
      </w:pPr>
    </w:p>
    <w:p>
      <w:pPr>
        <w:pStyle w:val="BodyText"/>
        <w:spacing w:before="1"/>
        <w:rPr>
          <w:sz w:val="12"/>
        </w:rPr>
      </w:pPr>
    </w:p>
    <w:p>
      <w:pPr>
        <w:spacing w:after="0"/>
        <w:rPr>
          <w:sz w:val="12"/>
        </w:rPr>
        <w:sectPr>
          <w:type w:val="continuous"/>
          <w:pgSz w:w="12240" w:h="15840"/>
          <w:pgMar w:top="1220" w:bottom="0" w:left="1320" w:right="280"/>
        </w:sectPr>
      </w:pPr>
    </w:p>
    <w:p>
      <w:pPr>
        <w:pStyle w:val="BodyText"/>
        <w:spacing w:before="95"/>
        <w:ind w:left="228" w:right="21"/>
      </w:pPr>
      <w:r>
        <w:rPr/>
        <w:t>ADDRESS FOR SERVICE AND CONTACT INFORMATION OF PARTY FILING THIS DOCUMENT</w:t>
      </w:r>
    </w:p>
    <w:p>
      <w:pPr>
        <w:pStyle w:val="BodyText"/>
        <w:spacing w:before="95"/>
        <w:ind w:left="228" w:right="4777"/>
      </w:pPr>
      <w:r>
        <w:rPr/>
        <w:br w:type="column"/>
      </w:r>
      <w:r>
        <w:rPr/>
        <w:t>Cindy L. Bratt Law Corporation 2642 Fulford-Ganges Road Salt Spring Island,</w:t>
      </w:r>
    </w:p>
    <w:p>
      <w:pPr>
        <w:pStyle w:val="BodyText"/>
        <w:tabs>
          <w:tab w:pos="1667" w:val="left" w:leader="none"/>
        </w:tabs>
        <w:spacing w:line="249" w:lineRule="auto" w:before="1"/>
        <w:ind w:left="228" w:right="4877"/>
      </w:pPr>
      <w:r>
        <w:rPr/>
        <w:t>British Columbia, V7L 0C7 Attention:</w:t>
        <w:tab/>
        <w:t>Cindy L.</w:t>
      </w:r>
      <w:r>
        <w:rPr>
          <w:spacing w:val="4"/>
        </w:rPr>
        <w:t> </w:t>
      </w:r>
      <w:r>
        <w:rPr>
          <w:spacing w:val="-4"/>
        </w:rPr>
        <w:t>Bratt</w:t>
      </w:r>
    </w:p>
    <w:p>
      <w:pPr>
        <w:pStyle w:val="BodyText"/>
        <w:tabs>
          <w:tab w:pos="2914" w:val="right" w:leader="none"/>
        </w:tabs>
        <w:spacing w:before="2"/>
        <w:ind w:left="228"/>
      </w:pPr>
      <w:r>
        <w:rPr/>
        <w:t>Phone:</w:t>
        <w:tab/>
        <w:t>250-653-2401</w:t>
      </w:r>
    </w:p>
    <w:p>
      <w:pPr>
        <w:pStyle w:val="BodyText"/>
        <w:tabs>
          <w:tab w:pos="2914" w:val="right" w:leader="none"/>
        </w:tabs>
        <w:spacing w:before="7"/>
        <w:ind w:left="228"/>
      </w:pPr>
      <w:r>
        <w:rPr/>
        <w:t>Fax:</w:t>
        <w:tab/>
        <w:t>855-427-1534</w:t>
      </w:r>
    </w:p>
    <w:p>
      <w:pPr>
        <w:spacing w:after="0"/>
        <w:sectPr>
          <w:type w:val="continuous"/>
          <w:pgSz w:w="12240" w:h="15840"/>
          <w:pgMar w:top="1220" w:bottom="0" w:left="1320" w:right="280"/>
          <w:cols w:num="2" w:equalWidth="0">
            <w:col w:w="2725" w:space="155"/>
            <w:col w:w="7760"/>
          </w:cols>
        </w:sectPr>
      </w:pPr>
    </w:p>
    <w:p>
      <w:pPr>
        <w:pStyle w:val="BodyText"/>
        <w:rPr>
          <w:sz w:val="24"/>
        </w:rPr>
      </w:pPr>
    </w:p>
    <w:p>
      <w:pPr>
        <w:pStyle w:val="BodyText"/>
        <w:spacing w:before="11"/>
        <w:rPr>
          <w:sz w:val="19"/>
        </w:rPr>
      </w:pPr>
    </w:p>
    <w:p>
      <w:pPr>
        <w:spacing w:before="0"/>
        <w:ind w:left="2587" w:right="3625" w:firstLine="0"/>
        <w:jc w:val="center"/>
        <w:rPr>
          <w:b/>
          <w:sz w:val="22"/>
        </w:rPr>
      </w:pPr>
      <w:r>
        <w:rPr>
          <w:b/>
          <w:sz w:val="22"/>
        </w:rPr>
        <w:t>AFFIDAVIT OF FRANK DAVID WHEATLEY</w:t>
      </w:r>
    </w:p>
    <w:p>
      <w:pPr>
        <w:pStyle w:val="BodyText"/>
        <w:rPr>
          <w:b/>
          <w:sz w:val="22"/>
        </w:rPr>
      </w:pPr>
    </w:p>
    <w:p>
      <w:pPr>
        <w:spacing w:before="0"/>
        <w:ind w:left="2583" w:right="3625" w:firstLine="0"/>
        <w:jc w:val="center"/>
        <w:rPr>
          <w:b/>
          <w:sz w:val="22"/>
        </w:rPr>
      </w:pPr>
      <w:r>
        <w:rPr>
          <w:b/>
          <w:sz w:val="22"/>
        </w:rPr>
        <w:t>Sworn on January 23, 2021</w:t>
      </w:r>
    </w:p>
    <w:p>
      <w:pPr>
        <w:pStyle w:val="BodyText"/>
        <w:spacing w:before="11"/>
        <w:rPr>
          <w:b/>
        </w:rPr>
      </w:pPr>
    </w:p>
    <w:p>
      <w:pPr>
        <w:pStyle w:val="BodyText"/>
        <w:spacing w:line="360" w:lineRule="auto"/>
        <w:ind w:left="120" w:right="1085"/>
      </w:pPr>
      <w:r>
        <w:rPr/>
        <w:t>I, Frank David Wheatley, of the City of North Vancouver, in the Province of British Columbia, SWEAR AND SAY THAT:</w:t>
      </w:r>
    </w:p>
    <w:p>
      <w:pPr>
        <w:pStyle w:val="BodyText"/>
        <w:rPr>
          <w:sz w:val="21"/>
        </w:rPr>
      </w:pPr>
    </w:p>
    <w:p>
      <w:pPr>
        <w:pStyle w:val="ListParagraph"/>
        <w:numPr>
          <w:ilvl w:val="0"/>
          <w:numId w:val="1"/>
        </w:numPr>
        <w:tabs>
          <w:tab w:pos="840" w:val="left" w:leader="none"/>
        </w:tabs>
        <w:spacing w:line="360" w:lineRule="auto" w:before="0" w:after="0"/>
        <w:ind w:left="840" w:right="1156" w:hanging="720"/>
        <w:jc w:val="both"/>
        <w:rPr>
          <w:sz w:val="20"/>
        </w:rPr>
      </w:pPr>
      <w:bookmarkStart w:name="1. I am a shareholder, a former Presiden" w:id="1"/>
      <w:bookmarkEnd w:id="1"/>
      <w:r>
        <w:rPr/>
      </w:r>
      <w:bookmarkStart w:name="1. I am a shareholder, a former Presiden" w:id="2"/>
      <w:bookmarkEnd w:id="2"/>
      <w:r>
        <w:rPr>
          <w:sz w:val="20"/>
        </w:rPr>
        <w:t>I</w:t>
      </w:r>
      <w:r>
        <w:rPr>
          <w:spacing w:val="-15"/>
          <w:sz w:val="20"/>
        </w:rPr>
        <w:t> </w:t>
      </w:r>
      <w:r>
        <w:rPr>
          <w:sz w:val="20"/>
        </w:rPr>
        <w:t>am</w:t>
      </w:r>
      <w:r>
        <w:rPr>
          <w:spacing w:val="-17"/>
          <w:sz w:val="20"/>
        </w:rPr>
        <w:t> </w:t>
      </w:r>
      <w:r>
        <w:rPr>
          <w:sz w:val="20"/>
        </w:rPr>
        <w:t>a</w:t>
      </w:r>
      <w:r>
        <w:rPr>
          <w:spacing w:val="-14"/>
          <w:sz w:val="20"/>
        </w:rPr>
        <w:t> </w:t>
      </w:r>
      <w:r>
        <w:rPr>
          <w:sz w:val="20"/>
        </w:rPr>
        <w:t>shareholder,</w:t>
      </w:r>
      <w:r>
        <w:rPr>
          <w:spacing w:val="-14"/>
          <w:sz w:val="20"/>
        </w:rPr>
        <w:t> </w:t>
      </w:r>
      <w:r>
        <w:rPr>
          <w:sz w:val="20"/>
        </w:rPr>
        <w:t>a</w:t>
      </w:r>
      <w:r>
        <w:rPr>
          <w:spacing w:val="-16"/>
          <w:sz w:val="20"/>
        </w:rPr>
        <w:t> </w:t>
      </w:r>
      <w:r>
        <w:rPr>
          <w:sz w:val="20"/>
        </w:rPr>
        <w:t>former</w:t>
      </w:r>
      <w:r>
        <w:rPr>
          <w:spacing w:val="-13"/>
          <w:sz w:val="20"/>
        </w:rPr>
        <w:t> </w:t>
      </w:r>
      <w:r>
        <w:rPr>
          <w:sz w:val="20"/>
        </w:rPr>
        <w:t>President</w:t>
      </w:r>
      <w:r>
        <w:rPr>
          <w:spacing w:val="-15"/>
          <w:sz w:val="20"/>
        </w:rPr>
        <w:t> </w:t>
      </w:r>
      <w:r>
        <w:rPr>
          <w:sz w:val="20"/>
        </w:rPr>
        <w:t>(“</w:t>
      </w:r>
      <w:r>
        <w:rPr>
          <w:b/>
          <w:sz w:val="20"/>
        </w:rPr>
        <w:t>President</w:t>
      </w:r>
      <w:r>
        <w:rPr>
          <w:sz w:val="20"/>
        </w:rPr>
        <w:t>”),</w:t>
      </w:r>
      <w:r>
        <w:rPr>
          <w:spacing w:val="-16"/>
          <w:sz w:val="20"/>
        </w:rPr>
        <w:t> </w:t>
      </w:r>
      <w:r>
        <w:rPr>
          <w:sz w:val="20"/>
        </w:rPr>
        <w:t>and</w:t>
      </w:r>
      <w:r>
        <w:rPr>
          <w:spacing w:val="-16"/>
          <w:sz w:val="20"/>
        </w:rPr>
        <w:t> </w:t>
      </w:r>
      <w:r>
        <w:rPr>
          <w:sz w:val="20"/>
        </w:rPr>
        <w:t>a</w:t>
      </w:r>
      <w:r>
        <w:rPr>
          <w:spacing w:val="-12"/>
          <w:sz w:val="20"/>
        </w:rPr>
        <w:t> </w:t>
      </w:r>
      <w:r>
        <w:rPr>
          <w:sz w:val="20"/>
        </w:rPr>
        <w:t>former</w:t>
      </w:r>
      <w:r>
        <w:rPr>
          <w:spacing w:val="-13"/>
          <w:sz w:val="20"/>
        </w:rPr>
        <w:t> </w:t>
      </w:r>
      <w:r>
        <w:rPr>
          <w:sz w:val="20"/>
        </w:rPr>
        <w:t>Chief</w:t>
      </w:r>
      <w:r>
        <w:rPr>
          <w:spacing w:val="-15"/>
          <w:sz w:val="20"/>
        </w:rPr>
        <w:t> </w:t>
      </w:r>
      <w:r>
        <w:rPr>
          <w:sz w:val="20"/>
        </w:rPr>
        <w:t>Executive</w:t>
      </w:r>
      <w:r>
        <w:rPr>
          <w:spacing w:val="-14"/>
          <w:sz w:val="20"/>
        </w:rPr>
        <w:t> </w:t>
      </w:r>
      <w:r>
        <w:rPr>
          <w:sz w:val="20"/>
        </w:rPr>
        <w:t>Officer</w:t>
      </w:r>
      <w:r>
        <w:rPr>
          <w:spacing w:val="-13"/>
          <w:sz w:val="20"/>
        </w:rPr>
        <w:t> </w:t>
      </w:r>
      <w:r>
        <w:rPr>
          <w:sz w:val="20"/>
        </w:rPr>
        <w:t>(“</w:t>
      </w:r>
      <w:r>
        <w:rPr>
          <w:b/>
          <w:sz w:val="20"/>
        </w:rPr>
        <w:t>CEO</w:t>
      </w:r>
      <w:r>
        <w:rPr>
          <w:sz w:val="20"/>
        </w:rPr>
        <w:t>”), of Karnalyte Resources Inc. ("</w:t>
      </w:r>
      <w:r>
        <w:rPr>
          <w:b/>
          <w:sz w:val="20"/>
        </w:rPr>
        <w:t>Karnalyte</w:t>
      </w:r>
      <w:r>
        <w:rPr>
          <w:sz w:val="20"/>
        </w:rPr>
        <w:t>"), and I am familiar with the business operations and governance of Karnalyte. I have personal knowledge of the matters herein deposed to, except where stated to be based on information and belief, in which case I do verily believe the same to be</w:t>
      </w:r>
      <w:r>
        <w:rPr>
          <w:spacing w:val="-3"/>
          <w:sz w:val="20"/>
        </w:rPr>
        <w:t> </w:t>
      </w:r>
      <w:r>
        <w:rPr>
          <w:sz w:val="20"/>
        </w:rPr>
        <w:t>true.</w:t>
      </w:r>
    </w:p>
    <w:p>
      <w:pPr>
        <w:pStyle w:val="BodyText"/>
      </w:pPr>
    </w:p>
    <w:p>
      <w:pPr>
        <w:pStyle w:val="BodyText"/>
      </w:pPr>
    </w:p>
    <w:p>
      <w:pPr>
        <w:pStyle w:val="BodyText"/>
        <w:spacing w:before="7"/>
        <w:rPr>
          <w:sz w:val="16"/>
        </w:rPr>
      </w:pPr>
      <w:r>
        <w:rPr/>
        <w:drawing>
          <wp:anchor distT="0" distB="0" distL="0" distR="0" allowOverlap="1" layoutInCell="1" locked="0" behindDoc="0" simplePos="0" relativeHeight="0">
            <wp:simplePos x="0" y="0"/>
            <wp:positionH relativeFrom="page">
              <wp:posOffset>6067286</wp:posOffset>
            </wp:positionH>
            <wp:positionV relativeFrom="paragraph">
              <wp:posOffset>301814</wp:posOffset>
            </wp:positionV>
            <wp:extent cx="832961" cy="512064"/>
            <wp:effectExtent l="0" t="0" r="0" b="0"/>
            <wp:wrapTopAndBottom/>
            <wp:docPr id="1" name="image2.jpeg"/>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832961" cy="512064"/>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7002780</wp:posOffset>
            </wp:positionH>
            <wp:positionV relativeFrom="paragraph">
              <wp:posOffset>146146</wp:posOffset>
            </wp:positionV>
            <wp:extent cx="509134" cy="544068"/>
            <wp:effectExtent l="0" t="0" r="0" b="0"/>
            <wp:wrapTopAndBottom/>
            <wp:docPr id="3" name="image3.jpeg"/>
            <wp:cNvGraphicFramePr>
              <a:graphicFrameLocks noChangeAspect="1"/>
            </wp:cNvGraphicFramePr>
            <a:graphic>
              <a:graphicData uri="http://schemas.openxmlformats.org/drawingml/2006/picture">
                <pic:pic>
                  <pic:nvPicPr>
                    <pic:cNvPr id="4" name="image3.jpeg"/>
                    <pic:cNvPicPr/>
                  </pic:nvPicPr>
                  <pic:blipFill>
                    <a:blip r:embed="rId7" cstate="print"/>
                    <a:stretch>
                      <a:fillRect/>
                    </a:stretch>
                  </pic:blipFill>
                  <pic:spPr>
                    <a:xfrm>
                      <a:off x="0" y="0"/>
                      <a:ext cx="509134" cy="544068"/>
                    </a:xfrm>
                    <a:prstGeom prst="rect">
                      <a:avLst/>
                    </a:prstGeom>
                  </pic:spPr>
                </pic:pic>
              </a:graphicData>
            </a:graphic>
          </wp:anchor>
        </w:drawing>
      </w:r>
    </w:p>
    <w:p>
      <w:pPr>
        <w:spacing w:after="0"/>
        <w:rPr>
          <w:sz w:val="16"/>
        </w:rPr>
        <w:sectPr>
          <w:type w:val="continuous"/>
          <w:pgSz w:w="12240" w:h="15840"/>
          <w:pgMar w:top="1220" w:bottom="0" w:left="1320" w:right="280"/>
        </w:sectPr>
      </w:pPr>
    </w:p>
    <w:p>
      <w:pPr>
        <w:pStyle w:val="ListParagraph"/>
        <w:numPr>
          <w:ilvl w:val="0"/>
          <w:numId w:val="1"/>
        </w:numPr>
        <w:tabs>
          <w:tab w:pos="840" w:val="left" w:leader="none"/>
        </w:tabs>
        <w:spacing w:line="360" w:lineRule="auto" w:before="75" w:after="0"/>
        <w:ind w:left="839" w:right="1155" w:hanging="720"/>
        <w:jc w:val="both"/>
        <w:rPr>
          <w:sz w:val="20"/>
        </w:rPr>
      </w:pPr>
      <w:r>
        <w:rPr/>
        <w:pict>
          <v:group style="position:absolute;margin-left:467.311005pt;margin-top:737.947876pt;width:114.6pt;height:47.9pt;mso-position-horizontal-relative:page;mso-position-vertical-relative:page;z-index:251665408" coordorigin="9346,14759" coordsize="2292,958">
            <v:shape style="position:absolute;left:10774;top:14841;width:863;height:876" type="#_x0000_t75" stroked="false">
              <v:imagedata r:id="rId9" o:title=""/>
            </v:shape>
            <v:shape style="position:absolute;left:9346;top:14758;width:1381;height:876" type="#_x0000_t75" stroked="false">
              <v:imagedata r:id="rId10" o:title=""/>
            </v:shape>
            <w10:wrap type="none"/>
          </v:group>
        </w:pict>
      </w:r>
      <w:bookmarkStart w:name="2. I am a corporate, securities and mini" w:id="3"/>
      <w:bookmarkEnd w:id="3"/>
      <w:r>
        <w:rPr/>
      </w:r>
      <w:bookmarkStart w:name="2. I am a corporate, securities and mini" w:id="4"/>
      <w:bookmarkEnd w:id="4"/>
      <w:r>
        <w:rPr>
          <w:sz w:val="20"/>
        </w:rPr>
        <w:t>I</w:t>
      </w:r>
      <w:r>
        <w:rPr>
          <w:spacing w:val="-6"/>
          <w:sz w:val="20"/>
        </w:rPr>
        <w:t> </w:t>
      </w:r>
      <w:r>
        <w:rPr>
          <w:sz w:val="20"/>
        </w:rPr>
        <w:t>am</w:t>
      </w:r>
      <w:r>
        <w:rPr>
          <w:spacing w:val="-6"/>
          <w:sz w:val="20"/>
        </w:rPr>
        <w:t> </w:t>
      </w:r>
      <w:r>
        <w:rPr>
          <w:sz w:val="20"/>
        </w:rPr>
        <w:t>a</w:t>
      </w:r>
      <w:r>
        <w:rPr>
          <w:spacing w:val="-5"/>
          <w:sz w:val="20"/>
        </w:rPr>
        <w:t> </w:t>
      </w:r>
      <w:r>
        <w:rPr>
          <w:sz w:val="20"/>
        </w:rPr>
        <w:t>corporate,</w:t>
      </w:r>
      <w:r>
        <w:rPr>
          <w:spacing w:val="-5"/>
          <w:sz w:val="20"/>
        </w:rPr>
        <w:t> </w:t>
      </w:r>
      <w:r>
        <w:rPr>
          <w:sz w:val="20"/>
        </w:rPr>
        <w:t>securities</w:t>
      </w:r>
      <w:r>
        <w:rPr>
          <w:spacing w:val="-6"/>
          <w:sz w:val="20"/>
        </w:rPr>
        <w:t> </w:t>
      </w:r>
      <w:r>
        <w:rPr>
          <w:sz w:val="20"/>
        </w:rPr>
        <w:t>and</w:t>
      </w:r>
      <w:r>
        <w:rPr>
          <w:spacing w:val="-5"/>
          <w:sz w:val="20"/>
        </w:rPr>
        <w:t> </w:t>
      </w:r>
      <w:r>
        <w:rPr>
          <w:sz w:val="20"/>
        </w:rPr>
        <w:t>mining</w:t>
      </w:r>
      <w:r>
        <w:rPr>
          <w:spacing w:val="-5"/>
          <w:sz w:val="20"/>
        </w:rPr>
        <w:t> </w:t>
      </w:r>
      <w:r>
        <w:rPr>
          <w:sz w:val="20"/>
        </w:rPr>
        <w:t>lawyer,</w:t>
      </w:r>
      <w:r>
        <w:rPr>
          <w:spacing w:val="-6"/>
          <w:sz w:val="20"/>
        </w:rPr>
        <w:t> </w:t>
      </w:r>
      <w:r>
        <w:rPr>
          <w:sz w:val="20"/>
        </w:rPr>
        <w:t>and</w:t>
      </w:r>
      <w:r>
        <w:rPr>
          <w:spacing w:val="-5"/>
          <w:sz w:val="20"/>
        </w:rPr>
        <w:t> </w:t>
      </w:r>
      <w:r>
        <w:rPr>
          <w:sz w:val="20"/>
        </w:rPr>
        <w:t>was</w:t>
      </w:r>
      <w:r>
        <w:rPr>
          <w:spacing w:val="-5"/>
          <w:sz w:val="20"/>
        </w:rPr>
        <w:t> </w:t>
      </w:r>
      <w:r>
        <w:rPr>
          <w:sz w:val="20"/>
        </w:rPr>
        <w:t>called</w:t>
      </w:r>
      <w:r>
        <w:rPr>
          <w:spacing w:val="-5"/>
          <w:sz w:val="20"/>
        </w:rPr>
        <w:t> </w:t>
      </w:r>
      <w:r>
        <w:rPr>
          <w:sz w:val="20"/>
        </w:rPr>
        <w:t>to</w:t>
      </w:r>
      <w:r>
        <w:rPr>
          <w:spacing w:val="-5"/>
          <w:sz w:val="20"/>
        </w:rPr>
        <w:t> </w:t>
      </w:r>
      <w:r>
        <w:rPr>
          <w:sz w:val="20"/>
        </w:rPr>
        <w:t>the</w:t>
      </w:r>
      <w:r>
        <w:rPr>
          <w:spacing w:val="-5"/>
          <w:sz w:val="20"/>
        </w:rPr>
        <w:t> </w:t>
      </w:r>
      <w:r>
        <w:rPr>
          <w:sz w:val="20"/>
        </w:rPr>
        <w:t>British</w:t>
      </w:r>
      <w:r>
        <w:rPr>
          <w:spacing w:val="-5"/>
          <w:sz w:val="20"/>
        </w:rPr>
        <w:t> </w:t>
      </w:r>
      <w:r>
        <w:rPr>
          <w:sz w:val="20"/>
        </w:rPr>
        <w:t>Columbia</w:t>
      </w:r>
      <w:r>
        <w:rPr>
          <w:spacing w:val="-5"/>
          <w:sz w:val="20"/>
        </w:rPr>
        <w:t> </w:t>
      </w:r>
      <w:r>
        <w:rPr>
          <w:sz w:val="20"/>
        </w:rPr>
        <w:t>bar</w:t>
      </w:r>
      <w:r>
        <w:rPr>
          <w:spacing w:val="-5"/>
          <w:sz w:val="20"/>
        </w:rPr>
        <w:t> </w:t>
      </w:r>
      <w:r>
        <w:rPr>
          <w:sz w:val="20"/>
        </w:rPr>
        <w:t>in</w:t>
      </w:r>
      <w:r>
        <w:rPr>
          <w:spacing w:val="-5"/>
          <w:sz w:val="20"/>
        </w:rPr>
        <w:t> </w:t>
      </w:r>
      <w:r>
        <w:rPr>
          <w:sz w:val="20"/>
        </w:rPr>
        <w:t>1984. I have more than 35 years experience working as lawyer in private practice, as general counsel, as a member of a number of executive management teams, including as President, Executive Director,</w:t>
      </w:r>
      <w:r>
        <w:rPr>
          <w:spacing w:val="-15"/>
          <w:sz w:val="20"/>
        </w:rPr>
        <w:t> </w:t>
      </w:r>
      <w:r>
        <w:rPr>
          <w:sz w:val="20"/>
        </w:rPr>
        <w:t>and</w:t>
      </w:r>
      <w:r>
        <w:rPr>
          <w:spacing w:val="-14"/>
          <w:sz w:val="20"/>
        </w:rPr>
        <w:t> </w:t>
      </w:r>
      <w:r>
        <w:rPr>
          <w:sz w:val="20"/>
        </w:rPr>
        <w:t>CEO,</w:t>
      </w:r>
      <w:r>
        <w:rPr>
          <w:spacing w:val="-15"/>
          <w:sz w:val="20"/>
        </w:rPr>
        <w:t> </w:t>
      </w:r>
      <w:r>
        <w:rPr>
          <w:sz w:val="20"/>
        </w:rPr>
        <w:t>of</w:t>
      </w:r>
      <w:r>
        <w:rPr>
          <w:spacing w:val="-14"/>
          <w:sz w:val="20"/>
        </w:rPr>
        <w:t> </w:t>
      </w:r>
      <w:r>
        <w:rPr>
          <w:sz w:val="20"/>
        </w:rPr>
        <w:t>Canadian</w:t>
      </w:r>
      <w:r>
        <w:rPr>
          <w:spacing w:val="-13"/>
          <w:sz w:val="20"/>
        </w:rPr>
        <w:t> </w:t>
      </w:r>
      <w:r>
        <w:rPr>
          <w:sz w:val="20"/>
        </w:rPr>
        <w:t>publicly</w:t>
      </w:r>
      <w:r>
        <w:rPr>
          <w:spacing w:val="-13"/>
          <w:sz w:val="20"/>
        </w:rPr>
        <w:t> </w:t>
      </w:r>
      <w:r>
        <w:rPr>
          <w:sz w:val="20"/>
        </w:rPr>
        <w:t>listed</w:t>
      </w:r>
      <w:r>
        <w:rPr>
          <w:spacing w:val="-13"/>
          <w:sz w:val="20"/>
        </w:rPr>
        <w:t> </w:t>
      </w:r>
      <w:r>
        <w:rPr>
          <w:sz w:val="20"/>
        </w:rPr>
        <w:t>mining</w:t>
      </w:r>
      <w:r>
        <w:rPr>
          <w:spacing w:val="-13"/>
          <w:sz w:val="20"/>
        </w:rPr>
        <w:t> </w:t>
      </w:r>
      <w:r>
        <w:rPr>
          <w:sz w:val="20"/>
        </w:rPr>
        <w:t>companies</w:t>
      </w:r>
      <w:r>
        <w:rPr>
          <w:spacing w:val="-14"/>
          <w:sz w:val="20"/>
        </w:rPr>
        <w:t> </w:t>
      </w:r>
      <w:r>
        <w:rPr>
          <w:sz w:val="20"/>
        </w:rPr>
        <w:t>operating</w:t>
      </w:r>
      <w:r>
        <w:rPr>
          <w:spacing w:val="-15"/>
          <w:sz w:val="20"/>
        </w:rPr>
        <w:t> </w:t>
      </w:r>
      <w:r>
        <w:rPr>
          <w:sz w:val="20"/>
        </w:rPr>
        <w:t>globally</w:t>
      </w:r>
      <w:r>
        <w:rPr>
          <w:spacing w:val="-13"/>
          <w:sz w:val="20"/>
        </w:rPr>
        <w:t> </w:t>
      </w:r>
      <w:r>
        <w:rPr>
          <w:sz w:val="20"/>
        </w:rPr>
        <w:t>in</w:t>
      </w:r>
      <w:r>
        <w:rPr>
          <w:spacing w:val="-13"/>
          <w:sz w:val="20"/>
        </w:rPr>
        <w:t> </w:t>
      </w:r>
      <w:r>
        <w:rPr>
          <w:sz w:val="20"/>
        </w:rPr>
        <w:t>gold,</w:t>
      </w:r>
      <w:r>
        <w:rPr>
          <w:spacing w:val="-14"/>
          <w:sz w:val="20"/>
        </w:rPr>
        <w:t> </w:t>
      </w:r>
      <w:r>
        <w:rPr>
          <w:sz w:val="20"/>
        </w:rPr>
        <w:t>copper, lithium</w:t>
      </w:r>
      <w:r>
        <w:rPr>
          <w:spacing w:val="-15"/>
          <w:sz w:val="20"/>
        </w:rPr>
        <w:t> </w:t>
      </w:r>
      <w:r>
        <w:rPr>
          <w:sz w:val="20"/>
        </w:rPr>
        <w:t>and</w:t>
      </w:r>
      <w:r>
        <w:rPr>
          <w:spacing w:val="-14"/>
          <w:sz w:val="20"/>
        </w:rPr>
        <w:t> </w:t>
      </w:r>
      <w:r>
        <w:rPr>
          <w:sz w:val="20"/>
        </w:rPr>
        <w:t>potash.</w:t>
      </w:r>
      <w:r>
        <w:rPr>
          <w:spacing w:val="27"/>
          <w:sz w:val="20"/>
        </w:rPr>
        <w:t> </w:t>
      </w:r>
      <w:r>
        <w:rPr>
          <w:sz w:val="20"/>
        </w:rPr>
        <w:t>I</w:t>
      </w:r>
      <w:r>
        <w:rPr>
          <w:spacing w:val="-14"/>
          <w:sz w:val="20"/>
        </w:rPr>
        <w:t> </w:t>
      </w:r>
      <w:r>
        <w:rPr>
          <w:sz w:val="20"/>
        </w:rPr>
        <w:t>also</w:t>
      </w:r>
      <w:r>
        <w:rPr>
          <w:spacing w:val="-14"/>
          <w:sz w:val="20"/>
        </w:rPr>
        <w:t> </w:t>
      </w:r>
      <w:r>
        <w:rPr>
          <w:sz w:val="20"/>
        </w:rPr>
        <w:t>have</w:t>
      </w:r>
      <w:r>
        <w:rPr>
          <w:spacing w:val="-14"/>
          <w:sz w:val="20"/>
        </w:rPr>
        <w:t> </w:t>
      </w:r>
      <w:r>
        <w:rPr>
          <w:sz w:val="20"/>
        </w:rPr>
        <w:t>extensive</w:t>
      </w:r>
      <w:r>
        <w:rPr>
          <w:spacing w:val="-15"/>
          <w:sz w:val="20"/>
        </w:rPr>
        <w:t> </w:t>
      </w:r>
      <w:r>
        <w:rPr>
          <w:sz w:val="20"/>
        </w:rPr>
        <w:t>experience</w:t>
      </w:r>
      <w:r>
        <w:rPr>
          <w:spacing w:val="-14"/>
          <w:sz w:val="20"/>
        </w:rPr>
        <w:t> </w:t>
      </w:r>
      <w:r>
        <w:rPr>
          <w:sz w:val="20"/>
        </w:rPr>
        <w:t>acting</w:t>
      </w:r>
      <w:r>
        <w:rPr>
          <w:spacing w:val="-14"/>
          <w:sz w:val="20"/>
        </w:rPr>
        <w:t> </w:t>
      </w:r>
      <w:r>
        <w:rPr>
          <w:sz w:val="20"/>
        </w:rPr>
        <w:t>as</w:t>
      </w:r>
      <w:r>
        <w:rPr>
          <w:spacing w:val="-14"/>
          <w:sz w:val="20"/>
        </w:rPr>
        <w:t> </w:t>
      </w:r>
      <w:r>
        <w:rPr>
          <w:sz w:val="20"/>
        </w:rPr>
        <w:t>an</w:t>
      </w:r>
      <w:r>
        <w:rPr>
          <w:spacing w:val="-14"/>
          <w:sz w:val="20"/>
        </w:rPr>
        <w:t> </w:t>
      </w:r>
      <w:r>
        <w:rPr>
          <w:sz w:val="20"/>
        </w:rPr>
        <w:t>independent</w:t>
      </w:r>
      <w:r>
        <w:rPr>
          <w:spacing w:val="-14"/>
          <w:sz w:val="20"/>
        </w:rPr>
        <w:t> </w:t>
      </w:r>
      <w:r>
        <w:rPr>
          <w:sz w:val="20"/>
        </w:rPr>
        <w:t>director</w:t>
      </w:r>
      <w:r>
        <w:rPr>
          <w:spacing w:val="-13"/>
          <w:sz w:val="20"/>
        </w:rPr>
        <w:t> </w:t>
      </w:r>
      <w:r>
        <w:rPr>
          <w:sz w:val="20"/>
        </w:rPr>
        <w:t>of</w:t>
      </w:r>
      <w:r>
        <w:rPr>
          <w:spacing w:val="-14"/>
          <w:sz w:val="20"/>
        </w:rPr>
        <w:t> </w:t>
      </w:r>
      <w:r>
        <w:rPr>
          <w:sz w:val="20"/>
        </w:rPr>
        <w:t>a</w:t>
      </w:r>
      <w:r>
        <w:rPr>
          <w:spacing w:val="-14"/>
          <w:sz w:val="20"/>
        </w:rPr>
        <w:t> </w:t>
      </w:r>
      <w:r>
        <w:rPr>
          <w:sz w:val="20"/>
        </w:rPr>
        <w:t>number of Canadian publicly listed companies. Attached as </w:t>
      </w:r>
      <w:r>
        <w:rPr>
          <w:b/>
          <w:sz w:val="20"/>
        </w:rPr>
        <w:t>Exhibit “AAA” </w:t>
      </w:r>
      <w:r>
        <w:rPr>
          <w:sz w:val="20"/>
        </w:rPr>
        <w:t>to my affidavit (the “</w:t>
      </w:r>
      <w:r>
        <w:rPr>
          <w:b/>
          <w:sz w:val="20"/>
        </w:rPr>
        <w:t>FDW Affidavit</w:t>
      </w:r>
      <w:r>
        <w:rPr>
          <w:sz w:val="20"/>
        </w:rPr>
        <w:t>”), sworn on January 23, 2020, is a copy of my SEDI profile indicating the Canadian publicly listed companies for which I have been an insider since SEDI was introduced in</w:t>
      </w:r>
      <w:r>
        <w:rPr>
          <w:spacing w:val="-34"/>
          <w:sz w:val="20"/>
        </w:rPr>
        <w:t> </w:t>
      </w:r>
      <w:r>
        <w:rPr>
          <w:sz w:val="20"/>
        </w:rPr>
        <w:t>2001.</w:t>
      </w:r>
    </w:p>
    <w:p>
      <w:pPr>
        <w:pStyle w:val="BodyText"/>
        <w:spacing w:before="11"/>
      </w:pPr>
    </w:p>
    <w:p>
      <w:pPr>
        <w:pStyle w:val="ListParagraph"/>
        <w:numPr>
          <w:ilvl w:val="0"/>
          <w:numId w:val="1"/>
        </w:numPr>
        <w:tabs>
          <w:tab w:pos="840" w:val="left" w:leader="none"/>
        </w:tabs>
        <w:spacing w:line="360" w:lineRule="auto" w:before="0" w:after="0"/>
        <w:ind w:left="838" w:right="1159" w:hanging="720"/>
        <w:jc w:val="both"/>
        <w:rPr>
          <w:sz w:val="20"/>
        </w:rPr>
      </w:pPr>
      <w:bookmarkStart w:name="3. I am currently an independent directo" w:id="5"/>
      <w:bookmarkEnd w:id="5"/>
      <w:r>
        <w:rPr/>
      </w:r>
      <w:bookmarkStart w:name="3. I am currently an independent directo" w:id="6"/>
      <w:bookmarkEnd w:id="6"/>
      <w:r>
        <w:rPr>
          <w:sz w:val="20"/>
        </w:rPr>
        <w:t>I</w:t>
      </w:r>
      <w:r>
        <w:rPr>
          <w:sz w:val="20"/>
        </w:rPr>
        <w:t> am currently an independent director of Teranga Gold Corporation (“</w:t>
      </w:r>
      <w:r>
        <w:rPr>
          <w:b/>
          <w:sz w:val="20"/>
        </w:rPr>
        <w:t>Teranga</w:t>
      </w:r>
      <w:r>
        <w:rPr>
          <w:sz w:val="20"/>
        </w:rPr>
        <w:t>”), a mid-tier gold mining company with gold mining operations in Senegal and Burkina Faso. Teranga is listed on the Toronto Stock Exchange (“</w:t>
      </w:r>
      <w:r>
        <w:rPr>
          <w:b/>
          <w:sz w:val="20"/>
        </w:rPr>
        <w:t>TSX</w:t>
      </w:r>
      <w:r>
        <w:rPr>
          <w:sz w:val="20"/>
        </w:rPr>
        <w:t>”) and has a market capitalization of approximately $2.5 billion. Significant shareholders of Teranga include Barrick Gold Corporation and Blackrock. Teranga is currently in the process of being acquired by Endevour Mining</w:t>
      </w:r>
      <w:r>
        <w:rPr>
          <w:spacing w:val="-12"/>
          <w:sz w:val="20"/>
        </w:rPr>
        <w:t> </w:t>
      </w:r>
      <w:r>
        <w:rPr>
          <w:sz w:val="20"/>
        </w:rPr>
        <w:t>Inc.</w:t>
      </w:r>
    </w:p>
    <w:p>
      <w:pPr>
        <w:pStyle w:val="BodyText"/>
        <w:spacing w:before="10"/>
      </w:pPr>
    </w:p>
    <w:p>
      <w:pPr>
        <w:pStyle w:val="ListParagraph"/>
        <w:numPr>
          <w:ilvl w:val="0"/>
          <w:numId w:val="1"/>
        </w:numPr>
        <w:tabs>
          <w:tab w:pos="839" w:val="left" w:leader="none"/>
        </w:tabs>
        <w:spacing w:line="360" w:lineRule="auto" w:before="0" w:after="0"/>
        <w:ind w:left="838" w:right="1157" w:hanging="720"/>
        <w:jc w:val="both"/>
        <w:rPr>
          <w:sz w:val="20"/>
        </w:rPr>
      </w:pPr>
      <w:bookmarkStart w:name="4. I was one of the original directors o" w:id="7"/>
      <w:bookmarkEnd w:id="7"/>
      <w:r>
        <w:rPr/>
      </w:r>
      <w:bookmarkStart w:name="4. I was one of the original directors o" w:id="8"/>
      <w:bookmarkEnd w:id="8"/>
      <w:r>
        <w:rPr>
          <w:sz w:val="20"/>
        </w:rPr>
        <w:t>I</w:t>
      </w:r>
      <w:r>
        <w:rPr>
          <w:sz w:val="20"/>
        </w:rPr>
        <w:t> was one of the original directors of Teranga when it was founded in 2010. I have been the Chairman of Teranga’s corporate governance committee for the past six years, the Chairman of Teranga’s compensation committee for the past eight years, as well as a member of the audit committee and finance committee at various times over the past 10</w:t>
      </w:r>
      <w:r>
        <w:rPr>
          <w:spacing w:val="-14"/>
          <w:sz w:val="20"/>
        </w:rPr>
        <w:t> </w:t>
      </w:r>
      <w:r>
        <w:rPr>
          <w:sz w:val="20"/>
        </w:rPr>
        <w:t>years.</w:t>
      </w:r>
    </w:p>
    <w:p>
      <w:pPr>
        <w:pStyle w:val="BodyText"/>
        <w:spacing w:before="10"/>
      </w:pPr>
    </w:p>
    <w:p>
      <w:pPr>
        <w:pStyle w:val="ListParagraph"/>
        <w:numPr>
          <w:ilvl w:val="0"/>
          <w:numId w:val="1"/>
        </w:numPr>
        <w:tabs>
          <w:tab w:pos="839" w:val="left" w:leader="none"/>
        </w:tabs>
        <w:spacing w:line="360" w:lineRule="auto" w:before="0" w:after="0"/>
        <w:ind w:left="838" w:right="1159" w:hanging="720"/>
        <w:jc w:val="both"/>
        <w:rPr>
          <w:sz w:val="20"/>
        </w:rPr>
      </w:pPr>
      <w:bookmarkStart w:name="5. My business and legal expertise is in" w:id="9"/>
      <w:bookmarkEnd w:id="9"/>
      <w:r>
        <w:rPr/>
      </w:r>
      <w:bookmarkStart w:name="5. My business and legal expertise is in" w:id="10"/>
      <w:bookmarkEnd w:id="10"/>
      <w:r>
        <w:rPr>
          <w:sz w:val="20"/>
        </w:rPr>
        <w:t>M</w:t>
      </w:r>
      <w:r>
        <w:rPr>
          <w:sz w:val="20"/>
        </w:rPr>
        <w:t>y business and legal expertise is in strategic planning, major capital project development, equity and debt project financing, environmental and construction permitting in accordance with all international best practices, EPCM construction contracting, as well as governance and compensation best practices for Canadian publicly listed</w:t>
      </w:r>
      <w:r>
        <w:rPr>
          <w:spacing w:val="-10"/>
          <w:sz w:val="20"/>
        </w:rPr>
        <w:t> </w:t>
      </w:r>
      <w:r>
        <w:rPr>
          <w:sz w:val="20"/>
        </w:rPr>
        <w:t>companies.</w:t>
      </w:r>
    </w:p>
    <w:p>
      <w:pPr>
        <w:pStyle w:val="BodyText"/>
        <w:spacing w:before="11"/>
      </w:pPr>
    </w:p>
    <w:p>
      <w:pPr>
        <w:pStyle w:val="Heading1"/>
        <w:ind w:left="117" w:firstLine="0"/>
      </w:pPr>
      <w:bookmarkStart w:name="Reasonable Expectations" w:id="11"/>
      <w:bookmarkEnd w:id="11"/>
      <w:r>
        <w:rPr>
          <w:b w:val="0"/>
        </w:rPr>
      </w:r>
      <w:r>
        <w:rPr/>
        <w:t>Reasonable Expectations</w:t>
      </w:r>
    </w:p>
    <w:p>
      <w:pPr>
        <w:pStyle w:val="BodyText"/>
        <w:spacing w:before="9"/>
        <w:rPr>
          <w:b/>
          <w:sz w:val="30"/>
        </w:rPr>
      </w:pPr>
    </w:p>
    <w:p>
      <w:pPr>
        <w:pStyle w:val="ListParagraph"/>
        <w:numPr>
          <w:ilvl w:val="0"/>
          <w:numId w:val="1"/>
        </w:numPr>
        <w:tabs>
          <w:tab w:pos="838" w:val="left" w:leader="none"/>
        </w:tabs>
        <w:spacing w:line="360" w:lineRule="auto" w:before="0" w:after="0"/>
        <w:ind w:left="837" w:right="1159" w:hanging="720"/>
        <w:jc w:val="both"/>
        <w:rPr>
          <w:sz w:val="20"/>
        </w:rPr>
      </w:pPr>
      <w:bookmarkStart w:name="6. As a shareholder of KRN, a Canadian p" w:id="12"/>
      <w:bookmarkEnd w:id="12"/>
      <w:r>
        <w:rPr/>
      </w:r>
      <w:bookmarkStart w:name="6. As a shareholder of KRN, a Canadian p" w:id="13"/>
      <w:bookmarkEnd w:id="13"/>
      <w:r>
        <w:rPr>
          <w:sz w:val="20"/>
        </w:rPr>
        <w:t>A</w:t>
      </w:r>
      <w:r>
        <w:rPr>
          <w:sz w:val="20"/>
        </w:rPr>
        <w:t>s a shareholder of KRN, a Canadian publicly listed company, I have a reasonable expectation that all directors and officers of KRN</w:t>
      </w:r>
      <w:r>
        <w:rPr>
          <w:spacing w:val="-5"/>
          <w:sz w:val="20"/>
        </w:rPr>
        <w:t> </w:t>
      </w:r>
      <w:r>
        <w:rPr>
          <w:sz w:val="20"/>
        </w:rPr>
        <w:t>will:</w:t>
      </w:r>
    </w:p>
    <w:p>
      <w:pPr>
        <w:pStyle w:val="BodyText"/>
        <w:rPr>
          <w:sz w:val="21"/>
        </w:rPr>
      </w:pPr>
    </w:p>
    <w:p>
      <w:pPr>
        <w:pStyle w:val="ListParagraph"/>
        <w:numPr>
          <w:ilvl w:val="1"/>
          <w:numId w:val="1"/>
        </w:numPr>
        <w:tabs>
          <w:tab w:pos="1557" w:val="left" w:leader="none"/>
          <w:tab w:pos="1558" w:val="left" w:leader="none"/>
        </w:tabs>
        <w:spacing w:line="350" w:lineRule="auto" w:before="0" w:after="0"/>
        <w:ind w:left="1557" w:right="1157" w:hanging="721"/>
        <w:jc w:val="left"/>
        <w:rPr>
          <w:rFonts w:ascii="Symbol" w:hAnsi="Symbol"/>
          <w:sz w:val="20"/>
        </w:rPr>
      </w:pPr>
      <w:r>
        <w:rPr>
          <w:sz w:val="20"/>
        </w:rPr>
        <w:t>fully</w:t>
      </w:r>
      <w:r>
        <w:rPr>
          <w:spacing w:val="-6"/>
          <w:sz w:val="20"/>
        </w:rPr>
        <w:t> </w:t>
      </w:r>
      <w:r>
        <w:rPr>
          <w:sz w:val="20"/>
        </w:rPr>
        <w:t>discharge</w:t>
      </w:r>
      <w:r>
        <w:rPr>
          <w:spacing w:val="-6"/>
          <w:sz w:val="20"/>
        </w:rPr>
        <w:t> </w:t>
      </w:r>
      <w:r>
        <w:rPr>
          <w:sz w:val="20"/>
        </w:rPr>
        <w:t>their</w:t>
      </w:r>
      <w:r>
        <w:rPr>
          <w:spacing w:val="-5"/>
          <w:sz w:val="20"/>
        </w:rPr>
        <w:t> </w:t>
      </w:r>
      <w:r>
        <w:rPr>
          <w:sz w:val="20"/>
        </w:rPr>
        <w:t>legal</w:t>
      </w:r>
      <w:r>
        <w:rPr>
          <w:spacing w:val="-7"/>
          <w:sz w:val="20"/>
        </w:rPr>
        <w:t> </w:t>
      </w:r>
      <w:r>
        <w:rPr>
          <w:sz w:val="20"/>
        </w:rPr>
        <w:t>and</w:t>
      </w:r>
      <w:r>
        <w:rPr>
          <w:spacing w:val="-6"/>
          <w:sz w:val="20"/>
        </w:rPr>
        <w:t> </w:t>
      </w:r>
      <w:r>
        <w:rPr>
          <w:sz w:val="20"/>
        </w:rPr>
        <w:t>fiduciary</w:t>
      </w:r>
      <w:r>
        <w:rPr>
          <w:spacing w:val="-5"/>
          <w:sz w:val="20"/>
        </w:rPr>
        <w:t> </w:t>
      </w:r>
      <w:r>
        <w:rPr>
          <w:sz w:val="20"/>
        </w:rPr>
        <w:t>duties</w:t>
      </w:r>
      <w:r>
        <w:rPr>
          <w:spacing w:val="-6"/>
          <w:sz w:val="20"/>
        </w:rPr>
        <w:t> </w:t>
      </w:r>
      <w:r>
        <w:rPr>
          <w:sz w:val="20"/>
        </w:rPr>
        <w:t>to</w:t>
      </w:r>
      <w:r>
        <w:rPr>
          <w:spacing w:val="-6"/>
          <w:sz w:val="20"/>
        </w:rPr>
        <w:t> </w:t>
      </w:r>
      <w:r>
        <w:rPr>
          <w:sz w:val="20"/>
        </w:rPr>
        <w:t>act</w:t>
      </w:r>
      <w:r>
        <w:rPr>
          <w:spacing w:val="-6"/>
          <w:sz w:val="20"/>
        </w:rPr>
        <w:t> </w:t>
      </w:r>
      <w:r>
        <w:rPr>
          <w:sz w:val="20"/>
        </w:rPr>
        <w:t>honestly,</w:t>
      </w:r>
      <w:r>
        <w:rPr>
          <w:spacing w:val="-7"/>
          <w:sz w:val="20"/>
        </w:rPr>
        <w:t> </w:t>
      </w:r>
      <w:r>
        <w:rPr>
          <w:sz w:val="20"/>
        </w:rPr>
        <w:t>with</w:t>
      </w:r>
      <w:r>
        <w:rPr>
          <w:spacing w:val="-5"/>
          <w:sz w:val="20"/>
        </w:rPr>
        <w:t> </w:t>
      </w:r>
      <w:r>
        <w:rPr>
          <w:sz w:val="20"/>
        </w:rPr>
        <w:t>integrity,</w:t>
      </w:r>
      <w:r>
        <w:rPr>
          <w:spacing w:val="-7"/>
          <w:sz w:val="20"/>
        </w:rPr>
        <w:t> </w:t>
      </w:r>
      <w:r>
        <w:rPr>
          <w:sz w:val="20"/>
        </w:rPr>
        <w:t>and</w:t>
      </w:r>
      <w:r>
        <w:rPr>
          <w:spacing w:val="-6"/>
          <w:sz w:val="20"/>
        </w:rPr>
        <w:t> </w:t>
      </w:r>
      <w:r>
        <w:rPr>
          <w:sz w:val="20"/>
        </w:rPr>
        <w:t>in</w:t>
      </w:r>
      <w:r>
        <w:rPr>
          <w:spacing w:val="-5"/>
          <w:sz w:val="20"/>
        </w:rPr>
        <w:t> </w:t>
      </w:r>
      <w:r>
        <w:rPr>
          <w:sz w:val="20"/>
        </w:rPr>
        <w:t>the</w:t>
      </w:r>
      <w:r>
        <w:rPr>
          <w:spacing w:val="-6"/>
          <w:sz w:val="20"/>
        </w:rPr>
        <w:t> </w:t>
      </w:r>
      <w:r>
        <w:rPr>
          <w:sz w:val="20"/>
        </w:rPr>
        <w:t>best interests of all</w:t>
      </w:r>
      <w:r>
        <w:rPr>
          <w:spacing w:val="-3"/>
          <w:sz w:val="20"/>
        </w:rPr>
        <w:t> </w:t>
      </w:r>
      <w:r>
        <w:rPr>
          <w:sz w:val="20"/>
        </w:rPr>
        <w:t>shareholders;</w:t>
      </w:r>
    </w:p>
    <w:p>
      <w:pPr>
        <w:pStyle w:val="BodyText"/>
        <w:spacing w:before="9"/>
        <w:rPr>
          <w:sz w:val="21"/>
        </w:rPr>
      </w:pPr>
    </w:p>
    <w:p>
      <w:pPr>
        <w:pStyle w:val="ListParagraph"/>
        <w:numPr>
          <w:ilvl w:val="1"/>
          <w:numId w:val="1"/>
        </w:numPr>
        <w:tabs>
          <w:tab w:pos="1557" w:val="left" w:leader="none"/>
          <w:tab w:pos="1558" w:val="left" w:leader="none"/>
        </w:tabs>
        <w:spacing w:line="240" w:lineRule="auto" w:before="0" w:after="0"/>
        <w:ind w:left="1557" w:right="0" w:hanging="721"/>
        <w:jc w:val="left"/>
        <w:rPr>
          <w:rFonts w:ascii="Symbol" w:hAnsi="Symbol"/>
          <w:sz w:val="20"/>
        </w:rPr>
      </w:pPr>
      <w:r>
        <w:rPr>
          <w:sz w:val="20"/>
        </w:rPr>
        <w:t>fully comply with KRN’s code of</w:t>
      </w:r>
      <w:r>
        <w:rPr>
          <w:spacing w:val="-5"/>
          <w:sz w:val="20"/>
        </w:rPr>
        <w:t> </w:t>
      </w:r>
      <w:r>
        <w:rPr>
          <w:sz w:val="20"/>
        </w:rPr>
        <w:t>conduct;</w:t>
      </w:r>
    </w:p>
    <w:p>
      <w:pPr>
        <w:pStyle w:val="BodyText"/>
        <w:spacing w:before="8"/>
        <w:rPr>
          <w:sz w:val="30"/>
        </w:rPr>
      </w:pPr>
    </w:p>
    <w:p>
      <w:pPr>
        <w:pStyle w:val="ListParagraph"/>
        <w:numPr>
          <w:ilvl w:val="1"/>
          <w:numId w:val="1"/>
        </w:numPr>
        <w:tabs>
          <w:tab w:pos="1557" w:val="left" w:leader="none"/>
          <w:tab w:pos="1558" w:val="left" w:leader="none"/>
        </w:tabs>
        <w:spacing w:line="240" w:lineRule="auto" w:before="0" w:after="0"/>
        <w:ind w:left="1557" w:right="0" w:hanging="721"/>
        <w:jc w:val="left"/>
        <w:rPr>
          <w:rFonts w:ascii="Symbol" w:hAnsi="Symbol"/>
          <w:sz w:val="20"/>
        </w:rPr>
      </w:pPr>
      <w:r>
        <w:rPr>
          <w:sz w:val="20"/>
        </w:rPr>
        <w:t>fully comply with Canadian securities laws and TSX rules and</w:t>
      </w:r>
      <w:r>
        <w:rPr>
          <w:spacing w:val="-11"/>
          <w:sz w:val="20"/>
        </w:rPr>
        <w:t> </w:t>
      </w:r>
      <w:r>
        <w:rPr>
          <w:sz w:val="20"/>
        </w:rPr>
        <w:t>regulations;</w:t>
      </w:r>
    </w:p>
    <w:p>
      <w:pPr>
        <w:pStyle w:val="BodyText"/>
        <w:spacing w:before="9"/>
        <w:rPr>
          <w:sz w:val="30"/>
        </w:rPr>
      </w:pPr>
    </w:p>
    <w:p>
      <w:pPr>
        <w:pStyle w:val="ListParagraph"/>
        <w:numPr>
          <w:ilvl w:val="1"/>
          <w:numId w:val="1"/>
        </w:numPr>
        <w:tabs>
          <w:tab w:pos="1557" w:val="left" w:leader="none"/>
          <w:tab w:pos="1558" w:val="left" w:leader="none"/>
        </w:tabs>
        <w:spacing w:line="240" w:lineRule="auto" w:before="0" w:after="0"/>
        <w:ind w:left="1557" w:right="0" w:hanging="721"/>
        <w:jc w:val="left"/>
        <w:rPr>
          <w:rFonts w:ascii="Symbol" w:hAnsi="Symbol"/>
          <w:sz w:val="20"/>
        </w:rPr>
      </w:pPr>
      <w:r>
        <w:rPr>
          <w:sz w:val="20"/>
        </w:rPr>
        <w:t>maintain the confidentiality of material, non-public</w:t>
      </w:r>
      <w:r>
        <w:rPr>
          <w:spacing w:val="-8"/>
          <w:sz w:val="20"/>
        </w:rPr>
        <w:t> </w:t>
      </w:r>
      <w:r>
        <w:rPr>
          <w:sz w:val="20"/>
        </w:rPr>
        <w:t>information;</w:t>
      </w:r>
    </w:p>
    <w:p>
      <w:pPr>
        <w:pStyle w:val="BodyText"/>
        <w:spacing w:before="8"/>
        <w:rPr>
          <w:sz w:val="30"/>
        </w:rPr>
      </w:pPr>
    </w:p>
    <w:p>
      <w:pPr>
        <w:pStyle w:val="ListParagraph"/>
        <w:numPr>
          <w:ilvl w:val="1"/>
          <w:numId w:val="1"/>
        </w:numPr>
        <w:tabs>
          <w:tab w:pos="1557" w:val="left" w:leader="none"/>
          <w:tab w:pos="1558" w:val="left" w:leader="none"/>
        </w:tabs>
        <w:spacing w:line="240" w:lineRule="auto" w:before="0" w:after="0"/>
        <w:ind w:left="1557" w:right="0" w:hanging="721"/>
        <w:jc w:val="left"/>
        <w:rPr>
          <w:rFonts w:ascii="Symbol" w:hAnsi="Symbol"/>
          <w:sz w:val="20"/>
        </w:rPr>
      </w:pPr>
      <w:r>
        <w:rPr>
          <w:sz w:val="20"/>
        </w:rPr>
        <w:t>provide public disclosure that is free from</w:t>
      </w:r>
      <w:r>
        <w:rPr>
          <w:spacing w:val="-8"/>
          <w:sz w:val="20"/>
        </w:rPr>
        <w:t> </w:t>
      </w:r>
      <w:r>
        <w:rPr>
          <w:sz w:val="20"/>
        </w:rPr>
        <w:t>misrepresentations;</w:t>
      </w:r>
    </w:p>
    <w:p>
      <w:pPr>
        <w:spacing w:after="0" w:line="240" w:lineRule="auto"/>
        <w:jc w:val="left"/>
        <w:rPr>
          <w:rFonts w:ascii="Symbol" w:hAnsi="Symbol"/>
          <w:sz w:val="20"/>
        </w:rPr>
        <w:sectPr>
          <w:footerReference w:type="default" r:id="rId8"/>
          <w:pgSz w:w="12240" w:h="15840"/>
          <w:pgMar w:footer="1259" w:header="0" w:top="1220" w:bottom="1440" w:left="1320" w:right="280"/>
          <w:pgNumType w:start="2"/>
        </w:sectPr>
      </w:pPr>
    </w:p>
    <w:p>
      <w:pPr>
        <w:pStyle w:val="ListParagraph"/>
        <w:numPr>
          <w:ilvl w:val="1"/>
          <w:numId w:val="1"/>
        </w:numPr>
        <w:tabs>
          <w:tab w:pos="1559" w:val="left" w:leader="none"/>
          <w:tab w:pos="1561" w:val="left" w:leader="none"/>
        </w:tabs>
        <w:spacing w:line="240" w:lineRule="auto" w:before="76" w:after="0"/>
        <w:ind w:left="1560" w:right="0" w:hanging="721"/>
        <w:jc w:val="left"/>
        <w:rPr>
          <w:rFonts w:ascii="Symbol" w:hAnsi="Symbol"/>
          <w:sz w:val="20"/>
        </w:rPr>
      </w:pPr>
      <w:r>
        <w:rPr/>
        <w:pict>
          <v:group style="position:absolute;margin-left:466.127991pt;margin-top:732.626099pt;width:112.2pt;height:45.55pt;mso-position-horizontal-relative:page;mso-position-vertical-relative:page;z-index:251666432" coordorigin="9323,14653" coordsize="2244,911">
            <v:shape style="position:absolute;left:10704;top:14652;width:863;height:876" type="#_x0000_t75" stroked="false">
              <v:imagedata r:id="rId9" o:title=""/>
            </v:shape>
            <v:shape style="position:absolute;left:9322;top:14688;width:1381;height:876" type="#_x0000_t75" stroked="false">
              <v:imagedata r:id="rId10" o:title=""/>
            </v:shape>
            <w10:wrap type="none"/>
          </v:group>
        </w:pict>
      </w:r>
      <w:r>
        <w:rPr>
          <w:sz w:val="20"/>
        </w:rPr>
        <w:t>not make misrepresentations in its public disclosure to the Canadian capital</w:t>
      </w:r>
      <w:r>
        <w:rPr>
          <w:spacing w:val="-17"/>
          <w:sz w:val="20"/>
        </w:rPr>
        <w:t> </w:t>
      </w:r>
      <w:r>
        <w:rPr>
          <w:sz w:val="20"/>
        </w:rPr>
        <w:t>markets;</w:t>
      </w:r>
    </w:p>
    <w:p>
      <w:pPr>
        <w:pStyle w:val="BodyText"/>
        <w:spacing w:before="9"/>
        <w:rPr>
          <w:sz w:val="30"/>
        </w:rPr>
      </w:pPr>
    </w:p>
    <w:p>
      <w:pPr>
        <w:pStyle w:val="ListParagraph"/>
        <w:numPr>
          <w:ilvl w:val="1"/>
          <w:numId w:val="1"/>
        </w:numPr>
        <w:tabs>
          <w:tab w:pos="1559" w:val="left" w:leader="none"/>
          <w:tab w:pos="1561" w:val="left" w:leader="none"/>
        </w:tabs>
        <w:spacing w:line="240" w:lineRule="auto" w:before="0" w:after="0"/>
        <w:ind w:left="1560" w:right="0" w:hanging="721"/>
        <w:jc w:val="left"/>
        <w:rPr>
          <w:rFonts w:ascii="Symbol" w:hAnsi="Symbol"/>
          <w:sz w:val="20"/>
        </w:rPr>
      </w:pPr>
      <w:r>
        <w:rPr>
          <w:sz w:val="20"/>
        </w:rPr>
        <w:t>fully comply with all other laws, rules and regulations applicable to KRN and its</w:t>
      </w:r>
      <w:r>
        <w:rPr>
          <w:spacing w:val="-19"/>
          <w:sz w:val="20"/>
        </w:rPr>
        <w:t> </w:t>
      </w:r>
      <w:r>
        <w:rPr>
          <w:sz w:val="20"/>
        </w:rPr>
        <w:t>business;</w:t>
      </w:r>
    </w:p>
    <w:p>
      <w:pPr>
        <w:pStyle w:val="BodyText"/>
        <w:spacing w:before="7"/>
        <w:rPr>
          <w:sz w:val="30"/>
        </w:rPr>
      </w:pPr>
    </w:p>
    <w:p>
      <w:pPr>
        <w:pStyle w:val="ListParagraph"/>
        <w:numPr>
          <w:ilvl w:val="1"/>
          <w:numId w:val="1"/>
        </w:numPr>
        <w:tabs>
          <w:tab w:pos="1559" w:val="left" w:leader="none"/>
          <w:tab w:pos="1561" w:val="left" w:leader="none"/>
        </w:tabs>
        <w:spacing w:line="240" w:lineRule="auto" w:before="1" w:after="0"/>
        <w:ind w:left="1560" w:right="0" w:hanging="721"/>
        <w:jc w:val="left"/>
        <w:rPr>
          <w:rFonts w:ascii="Symbol" w:hAnsi="Symbol"/>
          <w:sz w:val="20"/>
        </w:rPr>
      </w:pPr>
      <w:r>
        <w:rPr>
          <w:sz w:val="20"/>
        </w:rPr>
        <w:t>avoid conflicts of interest and</w:t>
      </w:r>
      <w:r>
        <w:rPr>
          <w:spacing w:val="-5"/>
          <w:sz w:val="20"/>
        </w:rPr>
        <w:t> </w:t>
      </w:r>
      <w:r>
        <w:rPr>
          <w:sz w:val="20"/>
        </w:rPr>
        <w:t>self-dealing;</w:t>
      </w:r>
    </w:p>
    <w:p>
      <w:pPr>
        <w:pStyle w:val="BodyText"/>
        <w:spacing w:before="8"/>
        <w:rPr>
          <w:sz w:val="30"/>
        </w:rPr>
      </w:pPr>
    </w:p>
    <w:p>
      <w:pPr>
        <w:pStyle w:val="ListParagraph"/>
        <w:numPr>
          <w:ilvl w:val="1"/>
          <w:numId w:val="1"/>
        </w:numPr>
        <w:tabs>
          <w:tab w:pos="1559" w:val="left" w:leader="none"/>
          <w:tab w:pos="1561" w:val="left" w:leader="none"/>
        </w:tabs>
        <w:spacing w:line="240" w:lineRule="auto" w:before="0" w:after="0"/>
        <w:ind w:left="1560" w:right="0" w:hanging="721"/>
        <w:jc w:val="left"/>
        <w:rPr>
          <w:rFonts w:ascii="Symbol" w:hAnsi="Symbol"/>
          <w:sz w:val="20"/>
        </w:rPr>
      </w:pPr>
      <w:r>
        <w:rPr>
          <w:sz w:val="20"/>
        </w:rPr>
        <w:t>fully comply with all contractual</w:t>
      </w:r>
      <w:r>
        <w:rPr>
          <w:spacing w:val="-5"/>
          <w:sz w:val="20"/>
        </w:rPr>
        <w:t> </w:t>
      </w:r>
      <w:r>
        <w:rPr>
          <w:sz w:val="20"/>
        </w:rPr>
        <w:t>agreements;</w:t>
      </w:r>
    </w:p>
    <w:p>
      <w:pPr>
        <w:pStyle w:val="BodyText"/>
        <w:spacing w:before="9"/>
        <w:rPr>
          <w:sz w:val="30"/>
        </w:rPr>
      </w:pPr>
    </w:p>
    <w:p>
      <w:pPr>
        <w:pStyle w:val="ListParagraph"/>
        <w:numPr>
          <w:ilvl w:val="1"/>
          <w:numId w:val="1"/>
        </w:numPr>
        <w:tabs>
          <w:tab w:pos="1559" w:val="left" w:leader="none"/>
          <w:tab w:pos="1561" w:val="left" w:leader="none"/>
        </w:tabs>
        <w:spacing w:line="350" w:lineRule="auto" w:before="0" w:after="0"/>
        <w:ind w:left="1560" w:right="1157" w:hanging="721"/>
        <w:jc w:val="left"/>
        <w:rPr>
          <w:rFonts w:ascii="Symbol" w:hAnsi="Symbol"/>
          <w:sz w:val="20"/>
        </w:rPr>
      </w:pPr>
      <w:r>
        <w:rPr>
          <w:sz w:val="20"/>
        </w:rPr>
        <w:t>hire competent management, with the requisite skills, qualifications, background and experience relevant to the company’s</w:t>
      </w:r>
      <w:r>
        <w:rPr>
          <w:spacing w:val="-6"/>
          <w:sz w:val="20"/>
        </w:rPr>
        <w:t> </w:t>
      </w:r>
      <w:r>
        <w:rPr>
          <w:sz w:val="20"/>
        </w:rPr>
        <w:t>business;</w:t>
      </w:r>
    </w:p>
    <w:p>
      <w:pPr>
        <w:pStyle w:val="BodyText"/>
        <w:spacing w:before="8"/>
        <w:rPr>
          <w:sz w:val="21"/>
        </w:rPr>
      </w:pPr>
    </w:p>
    <w:p>
      <w:pPr>
        <w:pStyle w:val="ListParagraph"/>
        <w:numPr>
          <w:ilvl w:val="1"/>
          <w:numId w:val="1"/>
        </w:numPr>
        <w:tabs>
          <w:tab w:pos="1559" w:val="left" w:leader="none"/>
          <w:tab w:pos="1561" w:val="left" w:leader="none"/>
        </w:tabs>
        <w:spacing w:line="350" w:lineRule="auto" w:before="1" w:after="0"/>
        <w:ind w:left="1560" w:right="1156" w:hanging="721"/>
        <w:jc w:val="left"/>
        <w:rPr>
          <w:rFonts w:ascii="Symbol" w:hAnsi="Symbol"/>
          <w:sz w:val="20"/>
        </w:rPr>
      </w:pPr>
      <w:r>
        <w:rPr>
          <w:sz w:val="20"/>
        </w:rPr>
        <w:t>spend the proceeds of a public offering of securities in accordance with the stated use of proceeds;</w:t>
      </w:r>
    </w:p>
    <w:p>
      <w:pPr>
        <w:pStyle w:val="BodyText"/>
        <w:spacing w:before="8"/>
        <w:rPr>
          <w:sz w:val="21"/>
        </w:rPr>
      </w:pPr>
    </w:p>
    <w:p>
      <w:pPr>
        <w:pStyle w:val="ListParagraph"/>
        <w:numPr>
          <w:ilvl w:val="1"/>
          <w:numId w:val="1"/>
        </w:numPr>
        <w:tabs>
          <w:tab w:pos="1559" w:val="left" w:leader="none"/>
          <w:tab w:pos="1561" w:val="left" w:leader="none"/>
        </w:tabs>
        <w:spacing w:line="350" w:lineRule="auto" w:before="0" w:after="0"/>
        <w:ind w:left="1560" w:right="1157" w:hanging="721"/>
        <w:jc w:val="left"/>
        <w:rPr>
          <w:rFonts w:ascii="Symbol" w:hAnsi="Symbol"/>
          <w:sz w:val="20"/>
        </w:rPr>
      </w:pPr>
      <w:r>
        <w:rPr>
          <w:sz w:val="20"/>
        </w:rPr>
        <w:t>hold meetings of shareholders, and in particular special meetings requisitioned by shareholders, within a reasonable time frame after being</w:t>
      </w:r>
      <w:r>
        <w:rPr>
          <w:spacing w:val="-12"/>
          <w:sz w:val="20"/>
        </w:rPr>
        <w:t> </w:t>
      </w:r>
      <w:r>
        <w:rPr>
          <w:sz w:val="20"/>
        </w:rPr>
        <w:t>called;</w:t>
      </w:r>
    </w:p>
    <w:p>
      <w:pPr>
        <w:pStyle w:val="BodyText"/>
        <w:spacing w:before="8"/>
        <w:rPr>
          <w:sz w:val="21"/>
        </w:rPr>
      </w:pPr>
    </w:p>
    <w:p>
      <w:pPr>
        <w:pStyle w:val="ListParagraph"/>
        <w:numPr>
          <w:ilvl w:val="1"/>
          <w:numId w:val="1"/>
        </w:numPr>
        <w:tabs>
          <w:tab w:pos="1559" w:val="left" w:leader="none"/>
          <w:tab w:pos="1561" w:val="left" w:leader="none"/>
        </w:tabs>
        <w:spacing w:line="350" w:lineRule="auto" w:before="0" w:after="0"/>
        <w:ind w:left="1560" w:right="1157" w:hanging="721"/>
        <w:jc w:val="left"/>
        <w:rPr>
          <w:rFonts w:ascii="Symbol" w:hAnsi="Symbol"/>
          <w:sz w:val="20"/>
        </w:rPr>
      </w:pPr>
      <w:r>
        <w:rPr>
          <w:sz w:val="20"/>
        </w:rPr>
        <w:t>when</w:t>
      </w:r>
      <w:r>
        <w:rPr>
          <w:spacing w:val="-12"/>
          <w:sz w:val="20"/>
        </w:rPr>
        <w:t> </w:t>
      </w:r>
      <w:r>
        <w:rPr>
          <w:sz w:val="20"/>
        </w:rPr>
        <w:t>shareholder</w:t>
      </w:r>
      <w:r>
        <w:rPr>
          <w:spacing w:val="-12"/>
          <w:sz w:val="20"/>
        </w:rPr>
        <w:t> </w:t>
      </w:r>
      <w:r>
        <w:rPr>
          <w:sz w:val="20"/>
        </w:rPr>
        <w:t>disputes</w:t>
      </w:r>
      <w:r>
        <w:rPr>
          <w:spacing w:val="-12"/>
          <w:sz w:val="20"/>
        </w:rPr>
        <w:t> </w:t>
      </w:r>
      <w:r>
        <w:rPr>
          <w:sz w:val="20"/>
        </w:rPr>
        <w:t>arise,</w:t>
      </w:r>
      <w:r>
        <w:rPr>
          <w:spacing w:val="-13"/>
          <w:sz w:val="20"/>
        </w:rPr>
        <w:t> </w:t>
      </w:r>
      <w:r>
        <w:rPr>
          <w:sz w:val="20"/>
        </w:rPr>
        <w:t>and</w:t>
      </w:r>
      <w:r>
        <w:rPr>
          <w:spacing w:val="-12"/>
          <w:sz w:val="20"/>
        </w:rPr>
        <w:t> </w:t>
      </w:r>
      <w:r>
        <w:rPr>
          <w:sz w:val="20"/>
        </w:rPr>
        <w:t>settlement</w:t>
      </w:r>
      <w:r>
        <w:rPr>
          <w:spacing w:val="-13"/>
          <w:sz w:val="20"/>
        </w:rPr>
        <w:t> </w:t>
      </w:r>
      <w:r>
        <w:rPr>
          <w:sz w:val="20"/>
        </w:rPr>
        <w:t>discussions</w:t>
      </w:r>
      <w:r>
        <w:rPr>
          <w:spacing w:val="-12"/>
          <w:sz w:val="20"/>
        </w:rPr>
        <w:t> </w:t>
      </w:r>
      <w:r>
        <w:rPr>
          <w:sz w:val="20"/>
        </w:rPr>
        <w:t>are</w:t>
      </w:r>
      <w:r>
        <w:rPr>
          <w:spacing w:val="-12"/>
          <w:sz w:val="20"/>
        </w:rPr>
        <w:t> </w:t>
      </w:r>
      <w:r>
        <w:rPr>
          <w:sz w:val="20"/>
        </w:rPr>
        <w:t>ongoing,</w:t>
      </w:r>
      <w:r>
        <w:rPr>
          <w:spacing w:val="-12"/>
          <w:sz w:val="20"/>
        </w:rPr>
        <w:t> </w:t>
      </w:r>
      <w:r>
        <w:rPr>
          <w:sz w:val="20"/>
        </w:rPr>
        <w:t>not</w:t>
      </w:r>
      <w:r>
        <w:rPr>
          <w:spacing w:val="-13"/>
          <w:sz w:val="20"/>
        </w:rPr>
        <w:t> </w:t>
      </w:r>
      <w:r>
        <w:rPr>
          <w:sz w:val="20"/>
        </w:rPr>
        <w:t>intentionally sabotage such discussions before they reach their natural conclusion;</w:t>
      </w:r>
      <w:r>
        <w:rPr>
          <w:spacing w:val="-14"/>
          <w:sz w:val="20"/>
        </w:rPr>
        <w:t> </w:t>
      </w:r>
      <w:r>
        <w:rPr>
          <w:sz w:val="20"/>
        </w:rPr>
        <w:t>and</w:t>
      </w:r>
    </w:p>
    <w:p>
      <w:pPr>
        <w:pStyle w:val="BodyText"/>
        <w:spacing w:before="9"/>
        <w:rPr>
          <w:sz w:val="21"/>
        </w:rPr>
      </w:pPr>
    </w:p>
    <w:p>
      <w:pPr>
        <w:pStyle w:val="ListParagraph"/>
        <w:numPr>
          <w:ilvl w:val="1"/>
          <w:numId w:val="1"/>
        </w:numPr>
        <w:tabs>
          <w:tab w:pos="1559" w:val="left" w:leader="none"/>
          <w:tab w:pos="1561" w:val="left" w:leader="none"/>
        </w:tabs>
        <w:spacing w:line="350" w:lineRule="auto" w:before="1" w:after="0"/>
        <w:ind w:left="1560" w:right="1155" w:hanging="721"/>
        <w:jc w:val="left"/>
        <w:rPr>
          <w:rFonts w:ascii="Symbol" w:hAnsi="Symbol"/>
          <w:sz w:val="20"/>
        </w:rPr>
      </w:pPr>
      <w:r>
        <w:rPr>
          <w:sz w:val="20"/>
        </w:rPr>
        <w:t>conduct a Canadian business in accordance with standard Canadian business practices, rather than in accordance with the business practices of a foreign</w:t>
      </w:r>
      <w:r>
        <w:rPr>
          <w:spacing w:val="-17"/>
          <w:sz w:val="20"/>
        </w:rPr>
        <w:t> </w:t>
      </w:r>
      <w:r>
        <w:rPr>
          <w:sz w:val="20"/>
        </w:rPr>
        <w:t>country.</w:t>
      </w:r>
    </w:p>
    <w:p>
      <w:pPr>
        <w:pStyle w:val="BodyText"/>
        <w:spacing w:before="7"/>
        <w:rPr>
          <w:sz w:val="21"/>
        </w:rPr>
      </w:pPr>
    </w:p>
    <w:p>
      <w:pPr>
        <w:pStyle w:val="Heading1"/>
        <w:ind w:left="120" w:firstLine="0"/>
      </w:pPr>
      <w:bookmarkStart w:name="Background" w:id="14"/>
      <w:bookmarkEnd w:id="14"/>
      <w:r>
        <w:rPr>
          <w:b w:val="0"/>
        </w:rPr>
      </w:r>
      <w:r>
        <w:rPr/>
        <w:t>Background</w:t>
      </w:r>
    </w:p>
    <w:p>
      <w:pPr>
        <w:pStyle w:val="BodyText"/>
        <w:spacing w:before="9"/>
        <w:rPr>
          <w:b/>
          <w:sz w:val="30"/>
        </w:rPr>
      </w:pPr>
    </w:p>
    <w:p>
      <w:pPr>
        <w:pStyle w:val="ListParagraph"/>
        <w:numPr>
          <w:ilvl w:val="0"/>
          <w:numId w:val="1"/>
        </w:numPr>
        <w:tabs>
          <w:tab w:pos="840" w:val="left" w:leader="none"/>
        </w:tabs>
        <w:spacing w:line="360" w:lineRule="auto" w:before="0" w:after="0"/>
        <w:ind w:left="839" w:right="1156" w:hanging="720"/>
        <w:jc w:val="both"/>
        <w:rPr>
          <w:sz w:val="20"/>
        </w:rPr>
      </w:pPr>
      <w:bookmarkStart w:name="7. Karnalyte was incorporated in Alberta" w:id="15"/>
      <w:bookmarkEnd w:id="15"/>
      <w:r>
        <w:rPr/>
      </w:r>
      <w:bookmarkStart w:name="7. Karnalyte was incorporated in Alberta" w:id="16"/>
      <w:bookmarkEnd w:id="16"/>
      <w:r>
        <w:rPr>
          <w:sz w:val="20"/>
        </w:rPr>
        <w:t>K</w:t>
      </w:r>
      <w:r>
        <w:rPr>
          <w:sz w:val="20"/>
        </w:rPr>
        <w:t>arnalyte</w:t>
      </w:r>
      <w:r>
        <w:rPr>
          <w:spacing w:val="-11"/>
          <w:sz w:val="20"/>
        </w:rPr>
        <w:t> </w:t>
      </w:r>
      <w:r>
        <w:rPr>
          <w:sz w:val="20"/>
        </w:rPr>
        <w:t>was</w:t>
      </w:r>
      <w:r>
        <w:rPr>
          <w:spacing w:val="-9"/>
          <w:sz w:val="20"/>
        </w:rPr>
        <w:t> </w:t>
      </w:r>
      <w:r>
        <w:rPr>
          <w:sz w:val="20"/>
        </w:rPr>
        <w:t>incorporated</w:t>
      </w:r>
      <w:r>
        <w:rPr>
          <w:spacing w:val="-9"/>
          <w:sz w:val="20"/>
        </w:rPr>
        <w:t> </w:t>
      </w:r>
      <w:r>
        <w:rPr>
          <w:sz w:val="20"/>
        </w:rPr>
        <w:t>in</w:t>
      </w:r>
      <w:r>
        <w:rPr>
          <w:spacing w:val="-10"/>
          <w:sz w:val="20"/>
        </w:rPr>
        <w:t> </w:t>
      </w:r>
      <w:r>
        <w:rPr>
          <w:sz w:val="20"/>
        </w:rPr>
        <w:t>Alberta</w:t>
      </w:r>
      <w:r>
        <w:rPr>
          <w:spacing w:val="-10"/>
          <w:sz w:val="20"/>
        </w:rPr>
        <w:t> </w:t>
      </w:r>
      <w:r>
        <w:rPr>
          <w:sz w:val="20"/>
        </w:rPr>
        <w:t>on</w:t>
      </w:r>
      <w:r>
        <w:rPr>
          <w:spacing w:val="-9"/>
          <w:sz w:val="20"/>
        </w:rPr>
        <w:t> </w:t>
      </w:r>
      <w:r>
        <w:rPr>
          <w:sz w:val="20"/>
        </w:rPr>
        <w:t>November</w:t>
      </w:r>
      <w:r>
        <w:rPr>
          <w:spacing w:val="-11"/>
          <w:sz w:val="20"/>
        </w:rPr>
        <w:t> </w:t>
      </w:r>
      <w:r>
        <w:rPr>
          <w:sz w:val="20"/>
        </w:rPr>
        <w:t>16,</w:t>
      </w:r>
      <w:r>
        <w:rPr>
          <w:spacing w:val="-10"/>
          <w:sz w:val="20"/>
        </w:rPr>
        <w:t> </w:t>
      </w:r>
      <w:r>
        <w:rPr>
          <w:sz w:val="20"/>
        </w:rPr>
        <w:t>2007</w:t>
      </w:r>
      <w:r>
        <w:rPr>
          <w:spacing w:val="-9"/>
          <w:sz w:val="20"/>
        </w:rPr>
        <w:t> </w:t>
      </w:r>
      <w:r>
        <w:rPr>
          <w:sz w:val="20"/>
        </w:rPr>
        <w:t>and</w:t>
      </w:r>
      <w:r>
        <w:rPr>
          <w:spacing w:val="-11"/>
          <w:sz w:val="20"/>
        </w:rPr>
        <w:t> </w:t>
      </w:r>
      <w:r>
        <w:rPr>
          <w:sz w:val="20"/>
        </w:rPr>
        <w:t>is</w:t>
      </w:r>
      <w:r>
        <w:rPr>
          <w:spacing w:val="-9"/>
          <w:sz w:val="20"/>
        </w:rPr>
        <w:t> </w:t>
      </w:r>
      <w:r>
        <w:rPr>
          <w:sz w:val="20"/>
        </w:rPr>
        <w:t>a</w:t>
      </w:r>
      <w:r>
        <w:rPr>
          <w:spacing w:val="-9"/>
          <w:sz w:val="20"/>
        </w:rPr>
        <w:t> </w:t>
      </w:r>
      <w:r>
        <w:rPr>
          <w:sz w:val="20"/>
        </w:rPr>
        <w:t>Saskatchewan-headquarted company that is focused on the development of potash operations in Saskatchewan. Karnalyte has a potash project in Wynyard, Saskatchewan (the "</w:t>
      </w:r>
      <w:r>
        <w:rPr>
          <w:b/>
          <w:sz w:val="20"/>
        </w:rPr>
        <w:t>Potash Project</w:t>
      </w:r>
      <w:r>
        <w:rPr>
          <w:sz w:val="20"/>
        </w:rPr>
        <w:t>"). Attached and marked as </w:t>
      </w:r>
      <w:r>
        <w:rPr>
          <w:b/>
          <w:sz w:val="20"/>
        </w:rPr>
        <w:t>Exhibit “A” </w:t>
      </w:r>
      <w:r>
        <w:rPr>
          <w:sz w:val="20"/>
        </w:rPr>
        <w:t>to the FDW Affidavit is a copy of a corporate registry search for</w:t>
      </w:r>
      <w:r>
        <w:rPr>
          <w:spacing w:val="-20"/>
          <w:sz w:val="20"/>
        </w:rPr>
        <w:t> </w:t>
      </w:r>
      <w:r>
        <w:rPr>
          <w:sz w:val="20"/>
        </w:rPr>
        <w:t>Karnalyte.</w:t>
      </w:r>
    </w:p>
    <w:p>
      <w:pPr>
        <w:pStyle w:val="BodyText"/>
        <w:spacing w:before="11"/>
      </w:pPr>
    </w:p>
    <w:p>
      <w:pPr>
        <w:pStyle w:val="ListParagraph"/>
        <w:numPr>
          <w:ilvl w:val="0"/>
          <w:numId w:val="1"/>
        </w:numPr>
        <w:tabs>
          <w:tab w:pos="840" w:val="left" w:leader="none"/>
        </w:tabs>
        <w:spacing w:line="360" w:lineRule="auto" w:before="0" w:after="0"/>
        <w:ind w:left="838" w:right="1157" w:hanging="720"/>
        <w:jc w:val="both"/>
        <w:rPr>
          <w:sz w:val="20"/>
        </w:rPr>
      </w:pPr>
      <w:bookmarkStart w:name="8. Karnalyte is a publicly traded corpor" w:id="17"/>
      <w:bookmarkEnd w:id="17"/>
      <w:r>
        <w:rPr/>
      </w:r>
      <w:bookmarkStart w:name="8. Karnalyte is a publicly traded corpor" w:id="18"/>
      <w:bookmarkEnd w:id="18"/>
      <w:r>
        <w:rPr>
          <w:sz w:val="20"/>
        </w:rPr>
        <w:t>K</w:t>
      </w:r>
      <w:r>
        <w:rPr>
          <w:sz w:val="20"/>
        </w:rPr>
        <w:t>arnalyte</w:t>
      </w:r>
      <w:r>
        <w:rPr>
          <w:spacing w:val="-9"/>
          <w:sz w:val="20"/>
        </w:rPr>
        <w:t> </w:t>
      </w:r>
      <w:r>
        <w:rPr>
          <w:sz w:val="20"/>
        </w:rPr>
        <w:t>is</w:t>
      </w:r>
      <w:r>
        <w:rPr>
          <w:spacing w:val="-8"/>
          <w:sz w:val="20"/>
        </w:rPr>
        <w:t> </w:t>
      </w:r>
      <w:r>
        <w:rPr>
          <w:sz w:val="20"/>
        </w:rPr>
        <w:t>a</w:t>
      </w:r>
      <w:r>
        <w:rPr>
          <w:spacing w:val="-10"/>
          <w:sz w:val="20"/>
        </w:rPr>
        <w:t> </w:t>
      </w:r>
      <w:r>
        <w:rPr>
          <w:sz w:val="20"/>
        </w:rPr>
        <w:t>publicly</w:t>
      </w:r>
      <w:r>
        <w:rPr>
          <w:spacing w:val="-7"/>
          <w:sz w:val="20"/>
        </w:rPr>
        <w:t> </w:t>
      </w:r>
      <w:r>
        <w:rPr>
          <w:sz w:val="20"/>
        </w:rPr>
        <w:t>traded</w:t>
      </w:r>
      <w:r>
        <w:rPr>
          <w:spacing w:val="-9"/>
          <w:sz w:val="20"/>
        </w:rPr>
        <w:t> </w:t>
      </w:r>
      <w:r>
        <w:rPr>
          <w:sz w:val="20"/>
        </w:rPr>
        <w:t>corporation</w:t>
      </w:r>
      <w:r>
        <w:rPr>
          <w:spacing w:val="-10"/>
          <w:sz w:val="20"/>
        </w:rPr>
        <w:t> </w:t>
      </w:r>
      <w:r>
        <w:rPr>
          <w:sz w:val="20"/>
        </w:rPr>
        <w:t>on</w:t>
      </w:r>
      <w:r>
        <w:rPr>
          <w:spacing w:val="-8"/>
          <w:sz w:val="20"/>
        </w:rPr>
        <w:t> </w:t>
      </w:r>
      <w:r>
        <w:rPr>
          <w:sz w:val="20"/>
        </w:rPr>
        <w:t>the</w:t>
      </w:r>
      <w:r>
        <w:rPr>
          <w:spacing w:val="-9"/>
          <w:sz w:val="20"/>
        </w:rPr>
        <w:t> </w:t>
      </w:r>
      <w:r>
        <w:rPr>
          <w:sz w:val="20"/>
        </w:rPr>
        <w:t>Toronto</w:t>
      </w:r>
      <w:r>
        <w:rPr>
          <w:spacing w:val="-9"/>
          <w:sz w:val="20"/>
        </w:rPr>
        <w:t> </w:t>
      </w:r>
      <w:r>
        <w:rPr>
          <w:sz w:val="20"/>
        </w:rPr>
        <w:t>Stock</w:t>
      </w:r>
      <w:r>
        <w:rPr>
          <w:spacing w:val="-7"/>
          <w:sz w:val="20"/>
        </w:rPr>
        <w:t> </w:t>
      </w:r>
      <w:r>
        <w:rPr>
          <w:sz w:val="20"/>
        </w:rPr>
        <w:t>Exchange</w:t>
      </w:r>
      <w:r>
        <w:rPr>
          <w:spacing w:val="-10"/>
          <w:sz w:val="20"/>
        </w:rPr>
        <w:t> </w:t>
      </w:r>
      <w:r>
        <w:rPr>
          <w:sz w:val="20"/>
        </w:rPr>
        <w:t>(the</w:t>
      </w:r>
      <w:r>
        <w:rPr>
          <w:spacing w:val="-9"/>
          <w:sz w:val="20"/>
        </w:rPr>
        <w:t> </w:t>
      </w:r>
      <w:r>
        <w:rPr>
          <w:sz w:val="20"/>
        </w:rPr>
        <w:t>“</w:t>
      </w:r>
      <w:r>
        <w:rPr>
          <w:b/>
          <w:sz w:val="20"/>
        </w:rPr>
        <w:t>TSX</w:t>
      </w:r>
      <w:r>
        <w:rPr>
          <w:sz w:val="20"/>
        </w:rPr>
        <w:t>”)</w:t>
      </w:r>
      <w:r>
        <w:rPr>
          <w:spacing w:val="-7"/>
          <w:sz w:val="20"/>
        </w:rPr>
        <w:t> </w:t>
      </w:r>
      <w:r>
        <w:rPr>
          <w:sz w:val="20"/>
        </w:rPr>
        <w:t>,</w:t>
      </w:r>
      <w:r>
        <w:rPr>
          <w:spacing w:val="-9"/>
          <w:sz w:val="20"/>
        </w:rPr>
        <w:t> </w:t>
      </w:r>
      <w:r>
        <w:rPr>
          <w:sz w:val="20"/>
        </w:rPr>
        <w:t>and</w:t>
      </w:r>
      <w:r>
        <w:rPr>
          <w:spacing w:val="-9"/>
          <w:sz w:val="20"/>
        </w:rPr>
        <w:t> </w:t>
      </w:r>
      <w:r>
        <w:rPr>
          <w:sz w:val="20"/>
        </w:rPr>
        <w:t>is</w:t>
      </w:r>
      <w:r>
        <w:rPr>
          <w:spacing w:val="-7"/>
          <w:sz w:val="20"/>
        </w:rPr>
        <w:t> </w:t>
      </w:r>
      <w:r>
        <w:rPr>
          <w:sz w:val="20"/>
        </w:rPr>
        <w:t>listed under the trading symbol “</w:t>
      </w:r>
      <w:r>
        <w:rPr>
          <w:b/>
          <w:sz w:val="20"/>
        </w:rPr>
        <w:t>KRN</w:t>
      </w:r>
      <w:r>
        <w:rPr>
          <w:sz w:val="20"/>
        </w:rPr>
        <w:t>”. Attached and marked as </w:t>
      </w:r>
      <w:r>
        <w:rPr>
          <w:b/>
          <w:sz w:val="20"/>
        </w:rPr>
        <w:t>Exhibit “B” </w:t>
      </w:r>
      <w:r>
        <w:rPr>
          <w:sz w:val="20"/>
        </w:rPr>
        <w:t>to the FDW Affidavit is a copy of a screenshot of the TSX website showing Karnaltye as a TSX listed</w:t>
      </w:r>
      <w:r>
        <w:rPr>
          <w:spacing w:val="-20"/>
          <w:sz w:val="20"/>
        </w:rPr>
        <w:t> </w:t>
      </w:r>
      <w:r>
        <w:rPr>
          <w:sz w:val="20"/>
        </w:rPr>
        <w:t>company.</w:t>
      </w:r>
    </w:p>
    <w:p>
      <w:pPr>
        <w:pStyle w:val="BodyText"/>
        <w:spacing w:before="10"/>
      </w:pPr>
    </w:p>
    <w:p>
      <w:pPr>
        <w:pStyle w:val="ListParagraph"/>
        <w:numPr>
          <w:ilvl w:val="0"/>
          <w:numId w:val="1"/>
        </w:numPr>
        <w:tabs>
          <w:tab w:pos="839" w:val="left" w:leader="none"/>
        </w:tabs>
        <w:spacing w:line="360" w:lineRule="auto" w:before="1" w:after="0"/>
        <w:ind w:left="838" w:right="1156" w:hanging="720"/>
        <w:jc w:val="both"/>
        <w:rPr>
          <w:sz w:val="20"/>
        </w:rPr>
      </w:pPr>
      <w:bookmarkStart w:name="9. Karnalyte's largest shareholder is Gu" w:id="19"/>
      <w:bookmarkEnd w:id="19"/>
      <w:r>
        <w:rPr/>
      </w:r>
      <w:bookmarkStart w:name="9. Karnalyte's largest shareholder is Gu" w:id="20"/>
      <w:bookmarkEnd w:id="20"/>
      <w:r>
        <w:rPr>
          <w:sz w:val="20"/>
        </w:rPr>
        <w:t>K</w:t>
      </w:r>
      <w:r>
        <w:rPr>
          <w:sz w:val="20"/>
        </w:rPr>
        <w:t>arnalyte's largest shareholder is Gujarat State Fertilizers &amp; Chemicals Limited ("</w:t>
      </w:r>
      <w:r>
        <w:rPr>
          <w:b/>
          <w:sz w:val="20"/>
        </w:rPr>
        <w:t>GSFC</w:t>
      </w:r>
      <w:r>
        <w:rPr>
          <w:sz w:val="20"/>
        </w:rPr>
        <w:t>"), holding shares</w:t>
      </w:r>
      <w:r>
        <w:rPr>
          <w:spacing w:val="-10"/>
          <w:sz w:val="20"/>
        </w:rPr>
        <w:t> </w:t>
      </w:r>
      <w:r>
        <w:rPr>
          <w:sz w:val="20"/>
        </w:rPr>
        <w:t>representing</w:t>
      </w:r>
      <w:r>
        <w:rPr>
          <w:spacing w:val="-11"/>
          <w:sz w:val="20"/>
        </w:rPr>
        <w:t> </w:t>
      </w:r>
      <w:r>
        <w:rPr>
          <w:sz w:val="20"/>
        </w:rPr>
        <w:t>approximately</w:t>
      </w:r>
      <w:r>
        <w:rPr>
          <w:spacing w:val="-10"/>
          <w:sz w:val="20"/>
        </w:rPr>
        <w:t> </w:t>
      </w:r>
      <w:r>
        <w:rPr>
          <w:sz w:val="20"/>
        </w:rPr>
        <w:t>38.73%</w:t>
      </w:r>
      <w:r>
        <w:rPr>
          <w:spacing w:val="-10"/>
          <w:sz w:val="20"/>
        </w:rPr>
        <w:t> </w:t>
      </w:r>
      <w:r>
        <w:rPr>
          <w:sz w:val="20"/>
        </w:rPr>
        <w:t>of</w:t>
      </w:r>
      <w:r>
        <w:rPr>
          <w:spacing w:val="-10"/>
          <w:sz w:val="20"/>
        </w:rPr>
        <w:t> </w:t>
      </w:r>
      <w:r>
        <w:rPr>
          <w:sz w:val="20"/>
        </w:rPr>
        <w:t>Karnalyte's</w:t>
      </w:r>
      <w:r>
        <w:rPr>
          <w:spacing w:val="-10"/>
          <w:sz w:val="20"/>
        </w:rPr>
        <w:t> </w:t>
      </w:r>
      <w:r>
        <w:rPr>
          <w:sz w:val="20"/>
        </w:rPr>
        <w:t>issued</w:t>
      </w:r>
      <w:r>
        <w:rPr>
          <w:spacing w:val="-11"/>
          <w:sz w:val="20"/>
        </w:rPr>
        <w:t> </w:t>
      </w:r>
      <w:r>
        <w:rPr>
          <w:sz w:val="20"/>
        </w:rPr>
        <w:t>and</w:t>
      </w:r>
      <w:r>
        <w:rPr>
          <w:spacing w:val="-10"/>
          <w:sz w:val="20"/>
        </w:rPr>
        <w:t> </w:t>
      </w:r>
      <w:r>
        <w:rPr>
          <w:sz w:val="20"/>
        </w:rPr>
        <w:t>outstanding</w:t>
      </w:r>
      <w:r>
        <w:rPr>
          <w:spacing w:val="-12"/>
          <w:sz w:val="20"/>
        </w:rPr>
        <w:t> </w:t>
      </w:r>
      <w:r>
        <w:rPr>
          <w:sz w:val="20"/>
        </w:rPr>
        <w:t>common</w:t>
      </w:r>
      <w:r>
        <w:rPr>
          <w:spacing w:val="-11"/>
          <w:sz w:val="20"/>
        </w:rPr>
        <w:t> </w:t>
      </w:r>
      <w:r>
        <w:rPr>
          <w:sz w:val="20"/>
        </w:rPr>
        <w:t>shares. Attached</w:t>
      </w:r>
      <w:r>
        <w:rPr>
          <w:spacing w:val="-12"/>
          <w:sz w:val="20"/>
        </w:rPr>
        <w:t> </w:t>
      </w:r>
      <w:r>
        <w:rPr>
          <w:sz w:val="20"/>
        </w:rPr>
        <w:t>and</w:t>
      </w:r>
      <w:r>
        <w:rPr>
          <w:spacing w:val="-12"/>
          <w:sz w:val="20"/>
        </w:rPr>
        <w:t> </w:t>
      </w:r>
      <w:r>
        <w:rPr>
          <w:sz w:val="20"/>
        </w:rPr>
        <w:t>marked</w:t>
      </w:r>
      <w:r>
        <w:rPr>
          <w:spacing w:val="-11"/>
          <w:sz w:val="20"/>
        </w:rPr>
        <w:t> </w:t>
      </w:r>
      <w:r>
        <w:rPr>
          <w:sz w:val="20"/>
        </w:rPr>
        <w:t>as</w:t>
      </w:r>
      <w:r>
        <w:rPr>
          <w:spacing w:val="-12"/>
          <w:sz w:val="20"/>
        </w:rPr>
        <w:t> </w:t>
      </w:r>
      <w:r>
        <w:rPr>
          <w:b/>
          <w:sz w:val="20"/>
        </w:rPr>
        <w:t>Exhibit</w:t>
      </w:r>
      <w:r>
        <w:rPr>
          <w:b/>
          <w:spacing w:val="-11"/>
          <w:sz w:val="20"/>
        </w:rPr>
        <w:t> </w:t>
      </w:r>
      <w:r>
        <w:rPr>
          <w:b/>
          <w:sz w:val="20"/>
        </w:rPr>
        <w:t>“C”</w:t>
      </w:r>
      <w:r>
        <w:rPr>
          <w:b/>
          <w:spacing w:val="-12"/>
          <w:sz w:val="20"/>
        </w:rPr>
        <w:t> </w:t>
      </w:r>
      <w:r>
        <w:rPr>
          <w:sz w:val="20"/>
        </w:rPr>
        <w:t>to</w:t>
      </w:r>
      <w:r>
        <w:rPr>
          <w:spacing w:val="-11"/>
          <w:sz w:val="20"/>
        </w:rPr>
        <w:t> </w:t>
      </w:r>
      <w:r>
        <w:rPr>
          <w:sz w:val="20"/>
        </w:rPr>
        <w:t>the</w:t>
      </w:r>
      <w:r>
        <w:rPr>
          <w:spacing w:val="-12"/>
          <w:sz w:val="20"/>
        </w:rPr>
        <w:t> </w:t>
      </w:r>
      <w:r>
        <w:rPr>
          <w:sz w:val="20"/>
        </w:rPr>
        <w:t>FDW</w:t>
      </w:r>
      <w:r>
        <w:rPr>
          <w:spacing w:val="-11"/>
          <w:sz w:val="20"/>
        </w:rPr>
        <w:t> </w:t>
      </w:r>
      <w:r>
        <w:rPr>
          <w:sz w:val="20"/>
        </w:rPr>
        <w:t>Affidavit</w:t>
      </w:r>
      <w:r>
        <w:rPr>
          <w:spacing w:val="-13"/>
          <w:sz w:val="20"/>
        </w:rPr>
        <w:t> </w:t>
      </w:r>
      <w:r>
        <w:rPr>
          <w:sz w:val="20"/>
        </w:rPr>
        <w:t>is</w:t>
      </w:r>
      <w:r>
        <w:rPr>
          <w:spacing w:val="-11"/>
          <w:sz w:val="20"/>
        </w:rPr>
        <w:t> </w:t>
      </w:r>
      <w:r>
        <w:rPr>
          <w:sz w:val="20"/>
        </w:rPr>
        <w:t>a</w:t>
      </w:r>
      <w:r>
        <w:rPr>
          <w:spacing w:val="-12"/>
          <w:sz w:val="20"/>
        </w:rPr>
        <w:t> </w:t>
      </w:r>
      <w:r>
        <w:rPr>
          <w:sz w:val="20"/>
        </w:rPr>
        <w:t>copy</w:t>
      </w:r>
      <w:r>
        <w:rPr>
          <w:spacing w:val="-11"/>
          <w:sz w:val="20"/>
        </w:rPr>
        <w:t> </w:t>
      </w:r>
      <w:r>
        <w:rPr>
          <w:sz w:val="20"/>
        </w:rPr>
        <w:t>of</w:t>
      </w:r>
      <w:r>
        <w:rPr>
          <w:spacing w:val="-13"/>
          <w:sz w:val="20"/>
        </w:rPr>
        <w:t> </w:t>
      </w:r>
      <w:r>
        <w:rPr>
          <w:sz w:val="20"/>
        </w:rPr>
        <w:t>the</w:t>
      </w:r>
      <w:r>
        <w:rPr>
          <w:spacing w:val="-11"/>
          <w:sz w:val="20"/>
        </w:rPr>
        <w:t> </w:t>
      </w:r>
      <w:r>
        <w:rPr>
          <w:sz w:val="20"/>
        </w:rPr>
        <w:t>management</w:t>
      </w:r>
      <w:r>
        <w:rPr>
          <w:spacing w:val="-13"/>
          <w:sz w:val="20"/>
        </w:rPr>
        <w:t> </w:t>
      </w:r>
      <w:r>
        <w:rPr>
          <w:sz w:val="20"/>
        </w:rPr>
        <w:t>information circular (the “</w:t>
      </w:r>
      <w:r>
        <w:rPr>
          <w:b/>
          <w:sz w:val="20"/>
        </w:rPr>
        <w:t>KRN Circular</w:t>
      </w:r>
      <w:r>
        <w:rPr>
          <w:sz w:val="20"/>
        </w:rPr>
        <w:t>”) dated November 15, 2020 of Karnaltye confirming the ownership of GSFC.</w:t>
      </w:r>
    </w:p>
    <w:p>
      <w:pPr>
        <w:spacing w:after="0" w:line="360" w:lineRule="auto"/>
        <w:jc w:val="both"/>
        <w:rPr>
          <w:sz w:val="20"/>
        </w:rPr>
        <w:sectPr>
          <w:pgSz w:w="12240" w:h="15840"/>
          <w:pgMar w:header="0" w:footer="1259" w:top="1220" w:bottom="1440" w:left="1320" w:right="280"/>
        </w:sectPr>
      </w:pPr>
    </w:p>
    <w:p>
      <w:pPr>
        <w:pStyle w:val="ListParagraph"/>
        <w:numPr>
          <w:ilvl w:val="0"/>
          <w:numId w:val="1"/>
        </w:numPr>
        <w:tabs>
          <w:tab w:pos="840" w:val="left" w:leader="none"/>
        </w:tabs>
        <w:spacing w:line="360" w:lineRule="auto" w:before="75" w:after="0"/>
        <w:ind w:left="840" w:right="1157" w:hanging="720"/>
        <w:jc w:val="both"/>
        <w:rPr>
          <w:sz w:val="20"/>
        </w:rPr>
      </w:pPr>
      <w:r>
        <w:rPr/>
        <w:drawing>
          <wp:anchor distT="0" distB="0" distL="0" distR="0" allowOverlap="1" layoutInCell="1" locked="0" behindDoc="0" simplePos="0" relativeHeight="251667456">
            <wp:simplePos x="0" y="0"/>
            <wp:positionH relativeFrom="page">
              <wp:posOffset>6857136</wp:posOffset>
            </wp:positionH>
            <wp:positionV relativeFrom="page">
              <wp:posOffset>9364431</wp:posOffset>
            </wp:positionV>
            <wp:extent cx="547560" cy="555707"/>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9" cstate="print"/>
                    <a:stretch>
                      <a:fillRect/>
                    </a:stretch>
                  </pic:blipFill>
                  <pic:spPr>
                    <a:xfrm>
                      <a:off x="0" y="0"/>
                      <a:ext cx="547560" cy="555707"/>
                    </a:xfrm>
                    <a:prstGeom prst="rect">
                      <a:avLst/>
                    </a:prstGeom>
                  </pic:spPr>
                </pic:pic>
              </a:graphicData>
            </a:graphic>
          </wp:anchor>
        </w:drawing>
      </w:r>
      <w:r>
        <w:rPr/>
        <w:drawing>
          <wp:anchor distT="0" distB="0" distL="0" distR="0" allowOverlap="1" layoutInCell="1" locked="0" behindDoc="0" simplePos="0" relativeHeight="251668480">
            <wp:simplePos x="0" y="0"/>
            <wp:positionH relativeFrom="page">
              <wp:posOffset>5904814</wp:posOffset>
            </wp:positionH>
            <wp:positionV relativeFrom="page">
              <wp:posOffset>9371938</wp:posOffset>
            </wp:positionV>
            <wp:extent cx="876722" cy="555707"/>
            <wp:effectExtent l="0" t="0" r="0" b="0"/>
            <wp:wrapNone/>
            <wp:docPr id="7" name="image5.png"/>
            <wp:cNvGraphicFramePr>
              <a:graphicFrameLocks noChangeAspect="1"/>
            </wp:cNvGraphicFramePr>
            <a:graphic>
              <a:graphicData uri="http://schemas.openxmlformats.org/drawingml/2006/picture">
                <pic:pic>
                  <pic:nvPicPr>
                    <pic:cNvPr id="8" name="image5.png"/>
                    <pic:cNvPicPr/>
                  </pic:nvPicPr>
                  <pic:blipFill>
                    <a:blip r:embed="rId10" cstate="print"/>
                    <a:stretch>
                      <a:fillRect/>
                    </a:stretch>
                  </pic:blipFill>
                  <pic:spPr>
                    <a:xfrm>
                      <a:off x="0" y="0"/>
                      <a:ext cx="876722" cy="555707"/>
                    </a:xfrm>
                    <a:prstGeom prst="rect">
                      <a:avLst/>
                    </a:prstGeom>
                  </pic:spPr>
                </pic:pic>
              </a:graphicData>
            </a:graphic>
          </wp:anchor>
        </w:drawing>
      </w:r>
      <w:bookmarkStart w:name="10. Gujarat State Investments Limited, t" w:id="21"/>
      <w:bookmarkEnd w:id="21"/>
      <w:r>
        <w:rPr/>
      </w:r>
      <w:bookmarkStart w:name="10. Gujarat State Investments Limited, t" w:id="22"/>
      <w:bookmarkEnd w:id="22"/>
      <w:r>
        <w:rPr>
          <w:sz w:val="20"/>
        </w:rPr>
        <w:t>G</w:t>
      </w:r>
      <w:r>
        <w:rPr>
          <w:sz w:val="20"/>
        </w:rPr>
        <w:t>ujarat State Investments Limited, the investment arm of the Government of Gujarat, India (the “</w:t>
      </w:r>
      <w:r>
        <w:rPr>
          <w:b/>
          <w:sz w:val="20"/>
        </w:rPr>
        <w:t>Gujarat</w:t>
      </w:r>
      <w:r>
        <w:rPr>
          <w:b/>
          <w:spacing w:val="-13"/>
          <w:sz w:val="20"/>
        </w:rPr>
        <w:t> </w:t>
      </w:r>
      <w:r>
        <w:rPr>
          <w:b/>
          <w:sz w:val="20"/>
        </w:rPr>
        <w:t>Government</w:t>
      </w:r>
      <w:r>
        <w:rPr>
          <w:sz w:val="20"/>
        </w:rPr>
        <w:t>”),</w:t>
      </w:r>
      <w:r>
        <w:rPr>
          <w:spacing w:val="-14"/>
          <w:sz w:val="20"/>
        </w:rPr>
        <w:t> </w:t>
      </w:r>
      <w:r>
        <w:rPr>
          <w:sz w:val="20"/>
        </w:rPr>
        <w:t>owns</w:t>
      </w:r>
      <w:r>
        <w:rPr>
          <w:spacing w:val="-13"/>
          <w:sz w:val="20"/>
        </w:rPr>
        <w:t> </w:t>
      </w:r>
      <w:r>
        <w:rPr>
          <w:sz w:val="20"/>
        </w:rPr>
        <w:t>37.84%</w:t>
      </w:r>
      <w:r>
        <w:rPr>
          <w:spacing w:val="-13"/>
          <w:sz w:val="20"/>
        </w:rPr>
        <w:t> </w:t>
      </w:r>
      <w:r>
        <w:rPr>
          <w:sz w:val="20"/>
        </w:rPr>
        <w:t>of</w:t>
      </w:r>
      <w:r>
        <w:rPr>
          <w:spacing w:val="-14"/>
          <w:sz w:val="20"/>
        </w:rPr>
        <w:t> </w:t>
      </w:r>
      <w:r>
        <w:rPr>
          <w:sz w:val="20"/>
        </w:rPr>
        <w:t>GSFC.</w:t>
      </w:r>
      <w:r>
        <w:rPr>
          <w:spacing w:val="28"/>
          <w:sz w:val="20"/>
        </w:rPr>
        <w:t> </w:t>
      </w:r>
      <w:r>
        <w:rPr>
          <w:sz w:val="20"/>
        </w:rPr>
        <w:t>Attached</w:t>
      </w:r>
      <w:r>
        <w:rPr>
          <w:spacing w:val="-13"/>
          <w:sz w:val="20"/>
        </w:rPr>
        <w:t> </w:t>
      </w:r>
      <w:r>
        <w:rPr>
          <w:sz w:val="20"/>
        </w:rPr>
        <w:t>and</w:t>
      </w:r>
      <w:r>
        <w:rPr>
          <w:spacing w:val="-12"/>
          <w:sz w:val="20"/>
        </w:rPr>
        <w:t> </w:t>
      </w:r>
      <w:r>
        <w:rPr>
          <w:sz w:val="20"/>
        </w:rPr>
        <w:t>marked</w:t>
      </w:r>
      <w:r>
        <w:rPr>
          <w:spacing w:val="-13"/>
          <w:sz w:val="20"/>
        </w:rPr>
        <w:t> </w:t>
      </w:r>
      <w:r>
        <w:rPr>
          <w:sz w:val="20"/>
        </w:rPr>
        <w:t>as</w:t>
      </w:r>
      <w:r>
        <w:rPr>
          <w:spacing w:val="-13"/>
          <w:sz w:val="20"/>
        </w:rPr>
        <w:t> </w:t>
      </w:r>
      <w:r>
        <w:rPr>
          <w:b/>
          <w:sz w:val="20"/>
        </w:rPr>
        <w:t>Exhibit</w:t>
      </w:r>
      <w:r>
        <w:rPr>
          <w:b/>
          <w:spacing w:val="-13"/>
          <w:sz w:val="20"/>
        </w:rPr>
        <w:t> </w:t>
      </w:r>
      <w:r>
        <w:rPr>
          <w:b/>
          <w:sz w:val="20"/>
        </w:rPr>
        <w:t>“D”</w:t>
      </w:r>
      <w:r>
        <w:rPr>
          <w:b/>
          <w:spacing w:val="-12"/>
          <w:sz w:val="20"/>
        </w:rPr>
        <w:t> </w:t>
      </w:r>
      <w:r>
        <w:rPr>
          <w:sz w:val="20"/>
        </w:rPr>
        <w:t>to</w:t>
      </w:r>
      <w:r>
        <w:rPr>
          <w:spacing w:val="-13"/>
          <w:sz w:val="20"/>
        </w:rPr>
        <w:t> </w:t>
      </w:r>
      <w:r>
        <w:rPr>
          <w:sz w:val="20"/>
        </w:rPr>
        <w:t>the</w:t>
      </w:r>
      <w:r>
        <w:rPr>
          <w:spacing w:val="-15"/>
          <w:sz w:val="20"/>
        </w:rPr>
        <w:t> </w:t>
      </w:r>
      <w:r>
        <w:rPr>
          <w:sz w:val="20"/>
        </w:rPr>
        <w:t>FDW Affidavit is a copy of a report confirming the Gujarat Government ownership of</w:t>
      </w:r>
      <w:r>
        <w:rPr>
          <w:spacing w:val="-25"/>
          <w:sz w:val="20"/>
        </w:rPr>
        <w:t> </w:t>
      </w:r>
      <w:r>
        <w:rPr>
          <w:sz w:val="20"/>
        </w:rPr>
        <w:t>GSFC.</w:t>
      </w:r>
    </w:p>
    <w:p>
      <w:pPr>
        <w:pStyle w:val="BodyText"/>
        <w:spacing w:before="10"/>
      </w:pPr>
    </w:p>
    <w:p>
      <w:pPr>
        <w:pStyle w:val="ListParagraph"/>
        <w:numPr>
          <w:ilvl w:val="0"/>
          <w:numId w:val="1"/>
        </w:numPr>
        <w:tabs>
          <w:tab w:pos="840" w:val="left" w:leader="none"/>
        </w:tabs>
        <w:spacing w:line="360" w:lineRule="auto" w:before="0" w:after="0"/>
        <w:ind w:left="839" w:right="1156" w:hanging="721"/>
        <w:jc w:val="both"/>
        <w:rPr>
          <w:sz w:val="20"/>
        </w:rPr>
      </w:pPr>
      <w:bookmarkStart w:name="11. I verily believe that the Government" w:id="23"/>
      <w:bookmarkEnd w:id="23"/>
      <w:r>
        <w:rPr/>
      </w:r>
      <w:bookmarkStart w:name="11. I verily believe that the Government" w:id="24"/>
      <w:bookmarkEnd w:id="24"/>
      <w:r>
        <w:rPr>
          <w:sz w:val="20"/>
        </w:rPr>
        <w:t>I</w:t>
      </w:r>
      <w:r>
        <w:rPr>
          <w:spacing w:val="-6"/>
          <w:sz w:val="20"/>
        </w:rPr>
        <w:t> </w:t>
      </w:r>
      <w:r>
        <w:rPr>
          <w:sz w:val="20"/>
        </w:rPr>
        <w:t>verily</w:t>
      </w:r>
      <w:r>
        <w:rPr>
          <w:spacing w:val="-5"/>
          <w:sz w:val="20"/>
        </w:rPr>
        <w:t> </w:t>
      </w:r>
      <w:r>
        <w:rPr>
          <w:sz w:val="20"/>
        </w:rPr>
        <w:t>believe</w:t>
      </w:r>
      <w:r>
        <w:rPr>
          <w:spacing w:val="-5"/>
          <w:sz w:val="20"/>
        </w:rPr>
        <w:t> </w:t>
      </w:r>
      <w:r>
        <w:rPr>
          <w:sz w:val="20"/>
        </w:rPr>
        <w:t>that</w:t>
      </w:r>
      <w:r>
        <w:rPr>
          <w:spacing w:val="-5"/>
          <w:sz w:val="20"/>
        </w:rPr>
        <w:t> </w:t>
      </w:r>
      <w:r>
        <w:rPr>
          <w:sz w:val="20"/>
        </w:rPr>
        <w:t>the</w:t>
      </w:r>
      <w:r>
        <w:rPr>
          <w:spacing w:val="-5"/>
          <w:sz w:val="20"/>
        </w:rPr>
        <w:t> </w:t>
      </w:r>
      <w:r>
        <w:rPr>
          <w:sz w:val="20"/>
        </w:rPr>
        <w:t>Government</w:t>
      </w:r>
      <w:r>
        <w:rPr>
          <w:spacing w:val="-6"/>
          <w:sz w:val="20"/>
        </w:rPr>
        <w:t> </w:t>
      </w:r>
      <w:r>
        <w:rPr>
          <w:sz w:val="20"/>
        </w:rPr>
        <w:t>of</w:t>
      </w:r>
      <w:r>
        <w:rPr>
          <w:spacing w:val="-6"/>
          <w:sz w:val="20"/>
        </w:rPr>
        <w:t> </w:t>
      </w:r>
      <w:r>
        <w:rPr>
          <w:sz w:val="20"/>
        </w:rPr>
        <w:t>Gujarat</w:t>
      </w:r>
      <w:r>
        <w:rPr>
          <w:spacing w:val="-5"/>
          <w:sz w:val="20"/>
        </w:rPr>
        <w:t> </w:t>
      </w:r>
      <w:r>
        <w:rPr>
          <w:sz w:val="20"/>
        </w:rPr>
        <w:t>appoints</w:t>
      </w:r>
      <w:r>
        <w:rPr>
          <w:spacing w:val="-5"/>
          <w:sz w:val="20"/>
        </w:rPr>
        <w:t> </w:t>
      </w:r>
      <w:r>
        <w:rPr>
          <w:sz w:val="20"/>
        </w:rPr>
        <w:t>the</w:t>
      </w:r>
      <w:r>
        <w:rPr>
          <w:spacing w:val="-5"/>
          <w:sz w:val="20"/>
        </w:rPr>
        <w:t> </w:t>
      </w:r>
      <w:r>
        <w:rPr>
          <w:sz w:val="20"/>
        </w:rPr>
        <w:t>managing</w:t>
      </w:r>
      <w:r>
        <w:rPr>
          <w:spacing w:val="-4"/>
          <w:sz w:val="20"/>
        </w:rPr>
        <w:t> </w:t>
      </w:r>
      <w:r>
        <w:rPr>
          <w:sz w:val="20"/>
        </w:rPr>
        <w:t>director</w:t>
      </w:r>
      <w:r>
        <w:rPr>
          <w:spacing w:val="-6"/>
          <w:sz w:val="20"/>
        </w:rPr>
        <w:t> </w:t>
      </w:r>
      <w:r>
        <w:rPr>
          <w:sz w:val="20"/>
        </w:rPr>
        <w:t>(the</w:t>
      </w:r>
      <w:r>
        <w:rPr>
          <w:spacing w:val="-5"/>
          <w:sz w:val="20"/>
        </w:rPr>
        <w:t> </w:t>
      </w:r>
      <w:r>
        <w:rPr>
          <w:sz w:val="20"/>
        </w:rPr>
        <w:t>“</w:t>
      </w:r>
      <w:r>
        <w:rPr>
          <w:b/>
          <w:sz w:val="20"/>
        </w:rPr>
        <w:t>GSFC</w:t>
      </w:r>
      <w:r>
        <w:rPr>
          <w:b/>
          <w:spacing w:val="-5"/>
          <w:sz w:val="20"/>
        </w:rPr>
        <w:t> </w:t>
      </w:r>
      <w:r>
        <w:rPr>
          <w:b/>
          <w:sz w:val="20"/>
        </w:rPr>
        <w:t>MD</w:t>
      </w:r>
      <w:r>
        <w:rPr>
          <w:sz w:val="20"/>
        </w:rPr>
        <w:t>”)</w:t>
      </w:r>
      <w:r>
        <w:rPr>
          <w:spacing w:val="-4"/>
          <w:sz w:val="20"/>
        </w:rPr>
        <w:t> </w:t>
      </w:r>
      <w:r>
        <w:rPr>
          <w:sz w:val="20"/>
        </w:rPr>
        <w:t>of GSFC, typically for a two (2) year</w:t>
      </w:r>
      <w:r>
        <w:rPr>
          <w:spacing w:val="-4"/>
          <w:sz w:val="20"/>
        </w:rPr>
        <w:t> </w:t>
      </w:r>
      <w:r>
        <w:rPr>
          <w:sz w:val="20"/>
        </w:rPr>
        <w:t>term.</w:t>
      </w:r>
    </w:p>
    <w:p>
      <w:pPr>
        <w:pStyle w:val="BodyText"/>
        <w:spacing w:before="10"/>
      </w:pPr>
    </w:p>
    <w:p>
      <w:pPr>
        <w:pStyle w:val="ListParagraph"/>
        <w:numPr>
          <w:ilvl w:val="0"/>
          <w:numId w:val="1"/>
        </w:numPr>
        <w:tabs>
          <w:tab w:pos="841" w:val="left" w:leader="none"/>
        </w:tabs>
        <w:spacing w:line="360" w:lineRule="auto" w:before="0" w:after="0"/>
        <w:ind w:left="840" w:right="1157" w:hanging="721"/>
        <w:jc w:val="both"/>
        <w:rPr>
          <w:sz w:val="20"/>
        </w:rPr>
      </w:pPr>
      <w:bookmarkStart w:name="12. KRN adopted a code of conduct (the “" w:id="25"/>
      <w:bookmarkEnd w:id="25"/>
      <w:r>
        <w:rPr/>
      </w:r>
      <w:bookmarkStart w:name="12. KRN adopted a code of conduct (the “" w:id="26"/>
      <w:bookmarkEnd w:id="26"/>
      <w:r>
        <w:rPr>
          <w:sz w:val="20"/>
        </w:rPr>
        <w:t>K</w:t>
      </w:r>
      <w:r>
        <w:rPr>
          <w:sz w:val="20"/>
        </w:rPr>
        <w:t>RN adopted a code of conduct (the “KRN Code”) on April 10, 2007 and a copy of the KRN Code is filed on SEDAR. Attached and marked as </w:t>
      </w:r>
      <w:r>
        <w:rPr>
          <w:b/>
          <w:sz w:val="20"/>
        </w:rPr>
        <w:t>Exhibit “I” </w:t>
      </w:r>
      <w:r>
        <w:rPr>
          <w:sz w:val="20"/>
        </w:rPr>
        <w:t>to the FDW Affidavit is a copy of the KRN Code.</w:t>
      </w:r>
    </w:p>
    <w:p>
      <w:pPr>
        <w:pStyle w:val="BodyText"/>
        <w:spacing w:before="11"/>
      </w:pPr>
    </w:p>
    <w:p>
      <w:pPr>
        <w:pStyle w:val="ListParagraph"/>
        <w:numPr>
          <w:ilvl w:val="0"/>
          <w:numId w:val="1"/>
        </w:numPr>
        <w:tabs>
          <w:tab w:pos="841" w:val="left" w:leader="none"/>
        </w:tabs>
        <w:spacing w:line="360" w:lineRule="auto" w:before="0" w:after="0"/>
        <w:ind w:left="839" w:right="1156" w:hanging="720"/>
        <w:jc w:val="both"/>
        <w:rPr>
          <w:sz w:val="20"/>
        </w:rPr>
      </w:pPr>
      <w:bookmarkStart w:name="13. I was hired as the President of KRN " w:id="27"/>
      <w:bookmarkEnd w:id="27"/>
      <w:r>
        <w:rPr/>
      </w:r>
      <w:bookmarkStart w:name="13. I was hired as the President of KRN " w:id="28"/>
      <w:bookmarkEnd w:id="28"/>
      <w:r>
        <w:rPr>
          <w:sz w:val="20"/>
        </w:rPr>
        <w:t>I</w:t>
      </w:r>
      <w:r>
        <w:rPr>
          <w:sz w:val="20"/>
        </w:rPr>
        <w:t> was hired as the President of KRN on February 5, 2018 for a one (1) year term. I was appointed the</w:t>
      </w:r>
      <w:r>
        <w:rPr>
          <w:spacing w:val="-8"/>
          <w:sz w:val="20"/>
        </w:rPr>
        <w:t> </w:t>
      </w:r>
      <w:r>
        <w:rPr>
          <w:sz w:val="20"/>
        </w:rPr>
        <w:t>CEO</w:t>
      </w:r>
      <w:r>
        <w:rPr>
          <w:spacing w:val="-7"/>
          <w:sz w:val="20"/>
        </w:rPr>
        <w:t> </w:t>
      </w:r>
      <w:r>
        <w:rPr>
          <w:sz w:val="20"/>
        </w:rPr>
        <w:t>of</w:t>
      </w:r>
      <w:r>
        <w:rPr>
          <w:spacing w:val="-8"/>
          <w:sz w:val="20"/>
        </w:rPr>
        <w:t> </w:t>
      </w:r>
      <w:r>
        <w:rPr>
          <w:sz w:val="20"/>
        </w:rPr>
        <w:t>KRN</w:t>
      </w:r>
      <w:r>
        <w:rPr>
          <w:spacing w:val="-6"/>
          <w:sz w:val="20"/>
        </w:rPr>
        <w:t> </w:t>
      </w:r>
      <w:r>
        <w:rPr>
          <w:sz w:val="20"/>
        </w:rPr>
        <w:t>effective</w:t>
      </w:r>
      <w:r>
        <w:rPr>
          <w:spacing w:val="-8"/>
          <w:sz w:val="20"/>
        </w:rPr>
        <w:t> </w:t>
      </w:r>
      <w:r>
        <w:rPr>
          <w:sz w:val="20"/>
        </w:rPr>
        <w:t>on</w:t>
      </w:r>
      <w:r>
        <w:rPr>
          <w:spacing w:val="-7"/>
          <w:sz w:val="20"/>
        </w:rPr>
        <w:t> </w:t>
      </w:r>
      <w:r>
        <w:rPr>
          <w:sz w:val="20"/>
        </w:rPr>
        <w:t>or</w:t>
      </w:r>
      <w:r>
        <w:rPr>
          <w:spacing w:val="-7"/>
          <w:sz w:val="20"/>
        </w:rPr>
        <w:t> </w:t>
      </w:r>
      <w:r>
        <w:rPr>
          <w:sz w:val="20"/>
        </w:rPr>
        <w:t>about</w:t>
      </w:r>
      <w:r>
        <w:rPr>
          <w:spacing w:val="-8"/>
          <w:sz w:val="20"/>
        </w:rPr>
        <w:t> </w:t>
      </w:r>
      <w:r>
        <w:rPr>
          <w:sz w:val="20"/>
        </w:rPr>
        <w:t>April</w:t>
      </w:r>
      <w:r>
        <w:rPr>
          <w:spacing w:val="-8"/>
          <w:sz w:val="20"/>
        </w:rPr>
        <w:t> </w:t>
      </w:r>
      <w:r>
        <w:rPr>
          <w:sz w:val="20"/>
        </w:rPr>
        <w:t>9,</w:t>
      </w:r>
      <w:r>
        <w:rPr>
          <w:spacing w:val="-7"/>
          <w:sz w:val="20"/>
        </w:rPr>
        <w:t> </w:t>
      </w:r>
      <w:r>
        <w:rPr>
          <w:sz w:val="20"/>
        </w:rPr>
        <w:t>2019.</w:t>
      </w:r>
      <w:r>
        <w:rPr>
          <w:spacing w:val="42"/>
          <w:sz w:val="20"/>
        </w:rPr>
        <w:t> </w:t>
      </w:r>
      <w:r>
        <w:rPr>
          <w:sz w:val="20"/>
        </w:rPr>
        <w:t>I</w:t>
      </w:r>
      <w:r>
        <w:rPr>
          <w:spacing w:val="-7"/>
          <w:sz w:val="20"/>
        </w:rPr>
        <w:t> </w:t>
      </w:r>
      <w:r>
        <w:rPr>
          <w:sz w:val="20"/>
        </w:rPr>
        <w:t>was</w:t>
      </w:r>
      <w:r>
        <w:rPr>
          <w:spacing w:val="-6"/>
          <w:sz w:val="20"/>
        </w:rPr>
        <w:t> </w:t>
      </w:r>
      <w:r>
        <w:rPr>
          <w:sz w:val="20"/>
        </w:rPr>
        <w:t>terminated</w:t>
      </w:r>
      <w:r>
        <w:rPr>
          <w:spacing w:val="-8"/>
          <w:sz w:val="20"/>
        </w:rPr>
        <w:t> </w:t>
      </w:r>
      <w:r>
        <w:rPr>
          <w:sz w:val="20"/>
        </w:rPr>
        <w:t>without</w:t>
      </w:r>
      <w:r>
        <w:rPr>
          <w:spacing w:val="-7"/>
          <w:sz w:val="20"/>
        </w:rPr>
        <w:t> </w:t>
      </w:r>
      <w:r>
        <w:rPr>
          <w:sz w:val="20"/>
        </w:rPr>
        <w:t>cause</w:t>
      </w:r>
      <w:r>
        <w:rPr>
          <w:spacing w:val="-8"/>
          <w:sz w:val="20"/>
        </w:rPr>
        <w:t> </w:t>
      </w:r>
      <w:r>
        <w:rPr>
          <w:sz w:val="20"/>
        </w:rPr>
        <w:t>on</w:t>
      </w:r>
      <w:r>
        <w:rPr>
          <w:spacing w:val="-7"/>
          <w:sz w:val="20"/>
        </w:rPr>
        <w:t> </w:t>
      </w:r>
      <w:r>
        <w:rPr>
          <w:sz w:val="20"/>
        </w:rPr>
        <w:t>September 11, 2019. I was not a member of the board of directors (the </w:t>
      </w:r>
      <w:r>
        <w:rPr>
          <w:b/>
          <w:sz w:val="20"/>
        </w:rPr>
        <w:t>“KRN Board</w:t>
      </w:r>
      <w:r>
        <w:rPr>
          <w:sz w:val="20"/>
        </w:rPr>
        <w:t>”) of KRN. Attached and marked as </w:t>
      </w:r>
      <w:r>
        <w:rPr>
          <w:b/>
          <w:sz w:val="20"/>
        </w:rPr>
        <w:t>Exhibit “X” </w:t>
      </w:r>
      <w:r>
        <w:rPr>
          <w:sz w:val="20"/>
        </w:rPr>
        <w:t>to the FDW Affidavit is a copy of the Karnaltye press release of February 5,</w:t>
      </w:r>
      <w:r>
        <w:rPr>
          <w:spacing w:val="-1"/>
          <w:sz w:val="20"/>
        </w:rPr>
        <w:t> </w:t>
      </w:r>
      <w:r>
        <w:rPr>
          <w:sz w:val="20"/>
        </w:rPr>
        <w:t>2018.</w:t>
      </w:r>
    </w:p>
    <w:p>
      <w:pPr>
        <w:pStyle w:val="BodyText"/>
        <w:spacing w:before="9"/>
      </w:pPr>
    </w:p>
    <w:p>
      <w:pPr>
        <w:pStyle w:val="Heading1"/>
        <w:spacing w:before="1"/>
        <w:ind w:left="119" w:firstLine="0"/>
      </w:pPr>
      <w:bookmarkStart w:name="Karnalyte Board of Directors" w:id="29"/>
      <w:bookmarkEnd w:id="29"/>
      <w:r>
        <w:rPr>
          <w:b w:val="0"/>
        </w:rPr>
      </w:r>
      <w:r>
        <w:rPr/>
        <w:t>Karnalyte Board of Directors</w:t>
      </w:r>
    </w:p>
    <w:p>
      <w:pPr>
        <w:pStyle w:val="BodyText"/>
        <w:spacing w:before="10"/>
        <w:rPr>
          <w:b/>
          <w:sz w:val="30"/>
        </w:rPr>
      </w:pPr>
    </w:p>
    <w:p>
      <w:pPr>
        <w:pStyle w:val="ListParagraph"/>
        <w:numPr>
          <w:ilvl w:val="0"/>
          <w:numId w:val="1"/>
        </w:numPr>
        <w:tabs>
          <w:tab w:pos="840" w:val="left" w:leader="none"/>
        </w:tabs>
        <w:spacing w:line="360" w:lineRule="auto" w:before="0" w:after="0"/>
        <w:ind w:left="839" w:right="1156" w:hanging="721"/>
        <w:jc w:val="both"/>
        <w:rPr>
          <w:sz w:val="20"/>
        </w:rPr>
      </w:pPr>
      <w:bookmarkStart w:name="14. On February 5, 2018, the KRN Board w" w:id="30"/>
      <w:bookmarkEnd w:id="30"/>
      <w:r>
        <w:rPr/>
      </w:r>
      <w:bookmarkStart w:name="14. On February 5, 2018, the KRN Board w" w:id="31"/>
      <w:bookmarkEnd w:id="31"/>
      <w:r>
        <w:rPr>
          <w:sz w:val="20"/>
        </w:rPr>
        <w:t>O</w:t>
      </w:r>
      <w:r>
        <w:rPr>
          <w:sz w:val="20"/>
        </w:rPr>
        <w:t>n February 5, 2018, the KRN Board was comprised of six (6) directors, being Todd Rowan (“</w:t>
      </w:r>
      <w:r>
        <w:rPr>
          <w:b/>
          <w:sz w:val="20"/>
        </w:rPr>
        <w:t>Rowan</w:t>
      </w:r>
      <w:r>
        <w:rPr>
          <w:sz w:val="20"/>
        </w:rPr>
        <w:t>”), Peter Matson (“</w:t>
      </w:r>
      <w:r>
        <w:rPr>
          <w:b/>
          <w:sz w:val="20"/>
        </w:rPr>
        <w:t>Matson</w:t>
      </w:r>
      <w:r>
        <w:rPr>
          <w:sz w:val="20"/>
        </w:rPr>
        <w:t>”), Gregory George Szabo (“</w:t>
      </w:r>
      <w:r>
        <w:rPr>
          <w:b/>
          <w:sz w:val="20"/>
        </w:rPr>
        <w:t>Szabo</w:t>
      </w:r>
      <w:r>
        <w:rPr>
          <w:sz w:val="20"/>
        </w:rPr>
        <w:t>”), Mark Zachanowich (“</w:t>
      </w:r>
      <w:r>
        <w:rPr>
          <w:b/>
          <w:sz w:val="20"/>
        </w:rPr>
        <w:t>Zachanowich</w:t>
      </w:r>
      <w:r>
        <w:rPr>
          <w:sz w:val="20"/>
        </w:rPr>
        <w:t>”),</w:t>
      </w:r>
      <w:r>
        <w:rPr>
          <w:spacing w:val="-9"/>
          <w:sz w:val="20"/>
        </w:rPr>
        <w:t> </w:t>
      </w:r>
      <w:r>
        <w:rPr>
          <w:sz w:val="20"/>
        </w:rPr>
        <w:t>Nanavaty,</w:t>
      </w:r>
      <w:r>
        <w:rPr>
          <w:spacing w:val="-8"/>
          <w:sz w:val="20"/>
        </w:rPr>
        <w:t> </w:t>
      </w:r>
      <w:r>
        <w:rPr>
          <w:sz w:val="20"/>
        </w:rPr>
        <w:t>and</w:t>
      </w:r>
      <w:r>
        <w:rPr>
          <w:spacing w:val="-8"/>
          <w:sz w:val="20"/>
        </w:rPr>
        <w:t> </w:t>
      </w:r>
      <w:r>
        <w:rPr>
          <w:sz w:val="20"/>
        </w:rPr>
        <w:t>Varma.</w:t>
      </w:r>
      <w:r>
        <w:rPr>
          <w:spacing w:val="40"/>
          <w:sz w:val="20"/>
        </w:rPr>
        <w:t> </w:t>
      </w:r>
      <w:r>
        <w:rPr>
          <w:sz w:val="20"/>
        </w:rPr>
        <w:t>I</w:t>
      </w:r>
      <w:r>
        <w:rPr>
          <w:spacing w:val="-8"/>
          <w:sz w:val="20"/>
        </w:rPr>
        <w:t> </w:t>
      </w:r>
      <w:r>
        <w:rPr>
          <w:sz w:val="20"/>
        </w:rPr>
        <w:t>was</w:t>
      </w:r>
      <w:r>
        <w:rPr>
          <w:spacing w:val="-7"/>
          <w:sz w:val="20"/>
        </w:rPr>
        <w:t> </w:t>
      </w:r>
      <w:r>
        <w:rPr>
          <w:sz w:val="20"/>
        </w:rPr>
        <w:t>advised</w:t>
      </w:r>
      <w:r>
        <w:rPr>
          <w:spacing w:val="-8"/>
          <w:sz w:val="20"/>
        </w:rPr>
        <w:t> </w:t>
      </w:r>
      <w:r>
        <w:rPr>
          <w:sz w:val="20"/>
        </w:rPr>
        <w:t>by</w:t>
      </w:r>
      <w:r>
        <w:rPr>
          <w:spacing w:val="-7"/>
          <w:sz w:val="20"/>
        </w:rPr>
        <w:t> </w:t>
      </w:r>
      <w:r>
        <w:rPr>
          <w:sz w:val="20"/>
        </w:rPr>
        <w:t>the</w:t>
      </w:r>
      <w:r>
        <w:rPr>
          <w:spacing w:val="-8"/>
          <w:sz w:val="20"/>
        </w:rPr>
        <w:t> </w:t>
      </w:r>
      <w:r>
        <w:rPr>
          <w:sz w:val="20"/>
        </w:rPr>
        <w:t>KRN</w:t>
      </w:r>
      <w:r>
        <w:rPr>
          <w:spacing w:val="-7"/>
          <w:sz w:val="20"/>
        </w:rPr>
        <w:t> </w:t>
      </w:r>
      <w:r>
        <w:rPr>
          <w:sz w:val="20"/>
        </w:rPr>
        <w:t>Board,</w:t>
      </w:r>
      <w:r>
        <w:rPr>
          <w:spacing w:val="-9"/>
          <w:sz w:val="20"/>
        </w:rPr>
        <w:t> </w:t>
      </w:r>
      <w:r>
        <w:rPr>
          <w:sz w:val="20"/>
        </w:rPr>
        <w:t>and</w:t>
      </w:r>
      <w:r>
        <w:rPr>
          <w:spacing w:val="-9"/>
          <w:sz w:val="20"/>
        </w:rPr>
        <w:t> </w:t>
      </w:r>
      <w:r>
        <w:rPr>
          <w:sz w:val="20"/>
        </w:rPr>
        <w:t>verily</w:t>
      </w:r>
      <w:r>
        <w:rPr>
          <w:spacing w:val="-7"/>
          <w:sz w:val="20"/>
        </w:rPr>
        <w:t> </w:t>
      </w:r>
      <w:r>
        <w:rPr>
          <w:sz w:val="20"/>
        </w:rPr>
        <w:t>believe,</w:t>
      </w:r>
      <w:r>
        <w:rPr>
          <w:spacing w:val="-10"/>
          <w:sz w:val="20"/>
        </w:rPr>
        <w:t> </w:t>
      </w:r>
      <w:r>
        <w:rPr>
          <w:sz w:val="20"/>
        </w:rPr>
        <w:t>that Nanavaty and Varma were nominees (the “</w:t>
      </w:r>
      <w:r>
        <w:rPr>
          <w:b/>
          <w:sz w:val="20"/>
        </w:rPr>
        <w:t>GSFC Nominees</w:t>
      </w:r>
      <w:r>
        <w:rPr>
          <w:sz w:val="20"/>
        </w:rPr>
        <w:t>”) of</w:t>
      </w:r>
      <w:r>
        <w:rPr>
          <w:spacing w:val="-9"/>
          <w:sz w:val="20"/>
        </w:rPr>
        <w:t> </w:t>
      </w:r>
      <w:r>
        <w:rPr>
          <w:sz w:val="20"/>
        </w:rPr>
        <w:t>GSFC.</w:t>
      </w:r>
    </w:p>
    <w:p>
      <w:pPr>
        <w:pStyle w:val="BodyText"/>
        <w:spacing w:before="10"/>
      </w:pPr>
    </w:p>
    <w:p>
      <w:pPr>
        <w:pStyle w:val="ListParagraph"/>
        <w:numPr>
          <w:ilvl w:val="0"/>
          <w:numId w:val="1"/>
        </w:numPr>
        <w:tabs>
          <w:tab w:pos="841" w:val="left" w:leader="none"/>
        </w:tabs>
        <w:spacing w:line="360" w:lineRule="auto" w:before="1" w:after="0"/>
        <w:ind w:left="840" w:right="1156" w:hanging="720"/>
        <w:jc w:val="both"/>
        <w:rPr>
          <w:sz w:val="20"/>
        </w:rPr>
      </w:pPr>
      <w:bookmarkStart w:name="15. I am advised by Rowan, and verily be" w:id="32"/>
      <w:bookmarkEnd w:id="32"/>
      <w:r>
        <w:rPr/>
      </w:r>
      <w:bookmarkStart w:name="15. I am advised by Rowan, and verily be" w:id="33"/>
      <w:bookmarkEnd w:id="33"/>
      <w:r>
        <w:rPr>
          <w:sz w:val="20"/>
        </w:rPr>
        <w:t>I</w:t>
      </w:r>
      <w:r>
        <w:rPr>
          <w:sz w:val="20"/>
        </w:rPr>
        <w:t> am advised by Rowan, and verily believe, that when Rowan, Matson, Szabo and Zachanowich were</w:t>
      </w:r>
      <w:r>
        <w:rPr>
          <w:spacing w:val="-5"/>
          <w:sz w:val="20"/>
        </w:rPr>
        <w:t> </w:t>
      </w:r>
      <w:r>
        <w:rPr>
          <w:sz w:val="20"/>
        </w:rPr>
        <w:t>first</w:t>
      </w:r>
      <w:r>
        <w:rPr>
          <w:spacing w:val="-5"/>
          <w:sz w:val="20"/>
        </w:rPr>
        <w:t> </w:t>
      </w:r>
      <w:r>
        <w:rPr>
          <w:sz w:val="20"/>
        </w:rPr>
        <w:t>appointed</w:t>
      </w:r>
      <w:r>
        <w:rPr>
          <w:spacing w:val="-4"/>
          <w:sz w:val="20"/>
        </w:rPr>
        <w:t> </w:t>
      </w:r>
      <w:r>
        <w:rPr>
          <w:sz w:val="20"/>
        </w:rPr>
        <w:t>to</w:t>
      </w:r>
      <w:r>
        <w:rPr>
          <w:spacing w:val="-4"/>
          <w:sz w:val="20"/>
        </w:rPr>
        <w:t> </w:t>
      </w:r>
      <w:r>
        <w:rPr>
          <w:sz w:val="20"/>
        </w:rPr>
        <w:t>the</w:t>
      </w:r>
      <w:r>
        <w:rPr>
          <w:spacing w:val="-5"/>
          <w:sz w:val="20"/>
        </w:rPr>
        <w:t> </w:t>
      </w:r>
      <w:r>
        <w:rPr>
          <w:sz w:val="20"/>
        </w:rPr>
        <w:t>KRN</w:t>
      </w:r>
      <w:r>
        <w:rPr>
          <w:spacing w:val="-4"/>
          <w:sz w:val="20"/>
        </w:rPr>
        <w:t> </w:t>
      </w:r>
      <w:r>
        <w:rPr>
          <w:sz w:val="20"/>
        </w:rPr>
        <w:t>Board</w:t>
      </w:r>
      <w:r>
        <w:rPr>
          <w:spacing w:val="-4"/>
          <w:sz w:val="20"/>
        </w:rPr>
        <w:t> </w:t>
      </w:r>
      <w:r>
        <w:rPr>
          <w:sz w:val="20"/>
        </w:rPr>
        <w:t>on</w:t>
      </w:r>
      <w:r>
        <w:rPr>
          <w:spacing w:val="-4"/>
          <w:sz w:val="20"/>
        </w:rPr>
        <w:t> </w:t>
      </w:r>
      <w:r>
        <w:rPr>
          <w:sz w:val="20"/>
        </w:rPr>
        <w:t>May</w:t>
      </w:r>
      <w:r>
        <w:rPr>
          <w:spacing w:val="-4"/>
          <w:sz w:val="20"/>
        </w:rPr>
        <w:t> </w:t>
      </w:r>
      <w:r>
        <w:rPr>
          <w:sz w:val="20"/>
        </w:rPr>
        <w:t>5,</w:t>
      </w:r>
      <w:r>
        <w:rPr>
          <w:spacing w:val="-5"/>
          <w:sz w:val="20"/>
        </w:rPr>
        <w:t> </w:t>
      </w:r>
      <w:r>
        <w:rPr>
          <w:sz w:val="20"/>
        </w:rPr>
        <w:t>2017</w:t>
      </w:r>
      <w:r>
        <w:rPr>
          <w:spacing w:val="-4"/>
          <w:sz w:val="20"/>
        </w:rPr>
        <w:t> </w:t>
      </w:r>
      <w:r>
        <w:rPr>
          <w:sz w:val="20"/>
        </w:rPr>
        <w:t>(the</w:t>
      </w:r>
      <w:r>
        <w:rPr>
          <w:spacing w:val="-4"/>
          <w:sz w:val="20"/>
        </w:rPr>
        <w:t> </w:t>
      </w:r>
      <w:r>
        <w:rPr>
          <w:sz w:val="20"/>
        </w:rPr>
        <w:t>“</w:t>
      </w:r>
      <w:r>
        <w:rPr>
          <w:b/>
          <w:sz w:val="20"/>
        </w:rPr>
        <w:t>2017</w:t>
      </w:r>
      <w:r>
        <w:rPr>
          <w:b/>
          <w:spacing w:val="-5"/>
          <w:sz w:val="20"/>
        </w:rPr>
        <w:t> </w:t>
      </w:r>
      <w:r>
        <w:rPr>
          <w:b/>
          <w:sz w:val="20"/>
        </w:rPr>
        <w:t>AGM</w:t>
      </w:r>
      <w:r>
        <w:rPr>
          <w:sz w:val="20"/>
        </w:rPr>
        <w:t>”),</w:t>
      </w:r>
      <w:r>
        <w:rPr>
          <w:spacing w:val="-5"/>
          <w:sz w:val="20"/>
        </w:rPr>
        <w:t> </w:t>
      </w:r>
      <w:r>
        <w:rPr>
          <w:sz w:val="20"/>
        </w:rPr>
        <w:t>they</w:t>
      </w:r>
      <w:r>
        <w:rPr>
          <w:spacing w:val="-4"/>
          <w:sz w:val="20"/>
        </w:rPr>
        <w:t> </w:t>
      </w:r>
      <w:r>
        <w:rPr>
          <w:sz w:val="20"/>
        </w:rPr>
        <w:t>attended</w:t>
      </w:r>
      <w:r>
        <w:rPr>
          <w:spacing w:val="-4"/>
          <w:sz w:val="20"/>
        </w:rPr>
        <w:t> </w:t>
      </w:r>
      <w:r>
        <w:rPr>
          <w:sz w:val="20"/>
        </w:rPr>
        <w:t>a</w:t>
      </w:r>
      <w:r>
        <w:rPr>
          <w:spacing w:val="-5"/>
          <w:sz w:val="20"/>
        </w:rPr>
        <w:t> </w:t>
      </w:r>
      <w:r>
        <w:rPr>
          <w:sz w:val="20"/>
        </w:rPr>
        <w:t>seminar provided by MLT Aikins, counsel to KRN, that reviewed the duties and obligations of directors of a Canadian publicly listed company. Attached and marked as </w:t>
      </w:r>
      <w:r>
        <w:rPr>
          <w:b/>
          <w:sz w:val="20"/>
        </w:rPr>
        <w:t>Exhibit “E” </w:t>
      </w:r>
      <w:r>
        <w:rPr>
          <w:sz w:val="20"/>
        </w:rPr>
        <w:t>to the FDW Affidavit are the voting results of the 2017 AGM. Attached and marked as </w:t>
      </w:r>
      <w:r>
        <w:rPr>
          <w:b/>
          <w:sz w:val="20"/>
        </w:rPr>
        <w:t>Exhibit “H” </w:t>
      </w:r>
      <w:r>
        <w:rPr>
          <w:sz w:val="20"/>
        </w:rPr>
        <w:t>to the FDW Affidavit is a copy of page 12 of the MLT</w:t>
      </w:r>
      <w:r>
        <w:rPr>
          <w:spacing w:val="-8"/>
          <w:sz w:val="20"/>
        </w:rPr>
        <w:t> </w:t>
      </w:r>
      <w:r>
        <w:rPr>
          <w:sz w:val="20"/>
        </w:rPr>
        <w:t>Presentation.</w:t>
      </w:r>
    </w:p>
    <w:p>
      <w:pPr>
        <w:pStyle w:val="BodyText"/>
        <w:spacing w:before="9"/>
      </w:pPr>
    </w:p>
    <w:p>
      <w:pPr>
        <w:pStyle w:val="ListParagraph"/>
        <w:numPr>
          <w:ilvl w:val="0"/>
          <w:numId w:val="1"/>
        </w:numPr>
        <w:tabs>
          <w:tab w:pos="840" w:val="left" w:leader="none"/>
        </w:tabs>
        <w:spacing w:line="360" w:lineRule="auto" w:before="0" w:after="0"/>
        <w:ind w:left="839" w:right="1155" w:hanging="720"/>
        <w:jc w:val="both"/>
        <w:rPr>
          <w:sz w:val="20"/>
        </w:rPr>
      </w:pPr>
      <w:bookmarkStart w:name="16. Rowan was appointed Interim CEO on J" w:id="34"/>
      <w:bookmarkEnd w:id="34"/>
      <w:r>
        <w:rPr/>
      </w:r>
      <w:bookmarkStart w:name="16. Rowan was appointed Interim CEO on J" w:id="35"/>
      <w:bookmarkEnd w:id="35"/>
      <w:r>
        <w:rPr>
          <w:sz w:val="20"/>
        </w:rPr>
        <w:t>R</w:t>
      </w:r>
      <w:r>
        <w:rPr>
          <w:sz w:val="20"/>
        </w:rPr>
        <w:t>owan</w:t>
      </w:r>
      <w:r>
        <w:rPr>
          <w:spacing w:val="-4"/>
          <w:sz w:val="20"/>
        </w:rPr>
        <w:t> </w:t>
      </w:r>
      <w:r>
        <w:rPr>
          <w:sz w:val="20"/>
        </w:rPr>
        <w:t>was</w:t>
      </w:r>
      <w:r>
        <w:rPr>
          <w:spacing w:val="-4"/>
          <w:sz w:val="20"/>
        </w:rPr>
        <w:t> </w:t>
      </w:r>
      <w:r>
        <w:rPr>
          <w:sz w:val="20"/>
        </w:rPr>
        <w:t>appointed</w:t>
      </w:r>
      <w:r>
        <w:rPr>
          <w:spacing w:val="-4"/>
          <w:sz w:val="20"/>
        </w:rPr>
        <w:t> </w:t>
      </w:r>
      <w:r>
        <w:rPr>
          <w:sz w:val="20"/>
        </w:rPr>
        <w:t>Interim</w:t>
      </w:r>
      <w:r>
        <w:rPr>
          <w:spacing w:val="-3"/>
          <w:sz w:val="20"/>
        </w:rPr>
        <w:t> </w:t>
      </w:r>
      <w:r>
        <w:rPr>
          <w:sz w:val="20"/>
        </w:rPr>
        <w:t>CEO</w:t>
      </w:r>
      <w:r>
        <w:rPr>
          <w:spacing w:val="-4"/>
          <w:sz w:val="20"/>
        </w:rPr>
        <w:t> </w:t>
      </w:r>
      <w:r>
        <w:rPr>
          <w:sz w:val="20"/>
        </w:rPr>
        <w:t>on</w:t>
      </w:r>
      <w:r>
        <w:rPr>
          <w:spacing w:val="-4"/>
          <w:sz w:val="20"/>
        </w:rPr>
        <w:t> </w:t>
      </w:r>
      <w:r>
        <w:rPr>
          <w:sz w:val="20"/>
        </w:rPr>
        <w:t>July</w:t>
      </w:r>
      <w:r>
        <w:rPr>
          <w:spacing w:val="-3"/>
          <w:sz w:val="20"/>
        </w:rPr>
        <w:t> </w:t>
      </w:r>
      <w:r>
        <w:rPr>
          <w:sz w:val="20"/>
        </w:rPr>
        <w:t>20,</w:t>
      </w:r>
      <w:r>
        <w:rPr>
          <w:spacing w:val="-5"/>
          <w:sz w:val="20"/>
        </w:rPr>
        <w:t> </w:t>
      </w:r>
      <w:r>
        <w:rPr>
          <w:sz w:val="20"/>
        </w:rPr>
        <w:t>2017,</w:t>
      </w:r>
      <w:r>
        <w:rPr>
          <w:spacing w:val="-5"/>
          <w:sz w:val="20"/>
        </w:rPr>
        <w:t> </w:t>
      </w:r>
      <w:r>
        <w:rPr>
          <w:sz w:val="20"/>
        </w:rPr>
        <w:t>and</w:t>
      </w:r>
      <w:r>
        <w:rPr>
          <w:spacing w:val="-4"/>
          <w:sz w:val="20"/>
        </w:rPr>
        <w:t> </w:t>
      </w:r>
      <w:r>
        <w:rPr>
          <w:sz w:val="20"/>
        </w:rPr>
        <w:t>ceased</w:t>
      </w:r>
      <w:r>
        <w:rPr>
          <w:spacing w:val="-3"/>
          <w:sz w:val="20"/>
        </w:rPr>
        <w:t> </w:t>
      </w:r>
      <w:r>
        <w:rPr>
          <w:sz w:val="20"/>
        </w:rPr>
        <w:t>to</w:t>
      </w:r>
      <w:r>
        <w:rPr>
          <w:spacing w:val="-4"/>
          <w:sz w:val="20"/>
        </w:rPr>
        <w:t> </w:t>
      </w:r>
      <w:r>
        <w:rPr>
          <w:sz w:val="20"/>
        </w:rPr>
        <w:t>be</w:t>
      </w:r>
      <w:r>
        <w:rPr>
          <w:spacing w:val="-4"/>
          <w:sz w:val="20"/>
        </w:rPr>
        <w:t> </w:t>
      </w:r>
      <w:r>
        <w:rPr>
          <w:sz w:val="20"/>
        </w:rPr>
        <w:t>an</w:t>
      </w:r>
      <w:r>
        <w:rPr>
          <w:spacing w:val="-3"/>
          <w:sz w:val="20"/>
        </w:rPr>
        <w:t> </w:t>
      </w:r>
      <w:r>
        <w:rPr>
          <w:sz w:val="20"/>
        </w:rPr>
        <w:t>independent</w:t>
      </w:r>
      <w:r>
        <w:rPr>
          <w:spacing w:val="-5"/>
          <w:sz w:val="20"/>
        </w:rPr>
        <w:t> </w:t>
      </w:r>
      <w:r>
        <w:rPr>
          <w:sz w:val="20"/>
        </w:rPr>
        <w:t>director</w:t>
      </w:r>
      <w:r>
        <w:rPr>
          <w:spacing w:val="-4"/>
          <w:sz w:val="20"/>
        </w:rPr>
        <w:t> </w:t>
      </w:r>
      <w:r>
        <w:rPr>
          <w:sz w:val="20"/>
        </w:rPr>
        <w:t>at that point. Attached and marked as </w:t>
      </w:r>
      <w:r>
        <w:rPr>
          <w:b/>
          <w:sz w:val="20"/>
        </w:rPr>
        <w:t>Exhibit “U” </w:t>
      </w:r>
      <w:r>
        <w:rPr>
          <w:sz w:val="20"/>
        </w:rPr>
        <w:t>to the FDW Affidavit is a copy of the KRN press release of July 20, 2017 with respect to the appointment of Rowan as Interim</w:t>
      </w:r>
      <w:r>
        <w:rPr>
          <w:spacing w:val="-20"/>
          <w:sz w:val="20"/>
        </w:rPr>
        <w:t> </w:t>
      </w:r>
      <w:r>
        <w:rPr>
          <w:sz w:val="20"/>
        </w:rPr>
        <w:t>CEO.</w:t>
      </w:r>
    </w:p>
    <w:p>
      <w:pPr>
        <w:spacing w:after="0" w:line="360" w:lineRule="auto"/>
        <w:jc w:val="both"/>
        <w:rPr>
          <w:sz w:val="20"/>
        </w:rPr>
        <w:sectPr>
          <w:pgSz w:w="12240" w:h="15840"/>
          <w:pgMar w:header="0" w:footer="1259" w:top="1220" w:bottom="1440" w:left="1320" w:right="280"/>
        </w:sectPr>
      </w:pPr>
    </w:p>
    <w:p>
      <w:pPr>
        <w:pStyle w:val="Heading1"/>
        <w:spacing w:before="77"/>
        <w:ind w:left="120" w:firstLine="0"/>
      </w:pPr>
      <w:r>
        <w:rPr/>
        <w:pict>
          <v:group style="position:absolute;margin-left:474.407013pt;margin-top:733.809021pt;width:114pt;height:50.3pt;mso-position-horizontal-relative:page;mso-position-vertical-relative:page;z-index:251669504" coordorigin="9488,14676" coordsize="2280,1006">
            <v:shape style="position:absolute;left:10905;top:14806;width:863;height:876" type="#_x0000_t75" stroked="false">
              <v:imagedata r:id="rId9" o:title=""/>
            </v:shape>
            <v:shape style="position:absolute;left:9488;top:14676;width:1381;height:876" type="#_x0000_t75" stroked="false">
              <v:imagedata r:id="rId10" o:title=""/>
            </v:shape>
            <w10:wrap type="none"/>
          </v:group>
        </w:pict>
      </w:r>
      <w:bookmarkStart w:name="17. I was the General Counsel for a Cana" w:id="36"/>
      <w:bookmarkEnd w:id="36"/>
      <w:r>
        <w:rPr>
          <w:b w:val="0"/>
        </w:rPr>
      </w:r>
      <w:r>
        <w:rPr/>
        <w:t>Corporate Governance in Canada</w:t>
      </w:r>
    </w:p>
    <w:p>
      <w:pPr>
        <w:pStyle w:val="BodyText"/>
        <w:spacing w:before="8"/>
        <w:rPr>
          <w:b/>
        </w:rPr>
      </w:pPr>
    </w:p>
    <w:p>
      <w:pPr>
        <w:pStyle w:val="ListParagraph"/>
        <w:numPr>
          <w:ilvl w:val="0"/>
          <w:numId w:val="1"/>
        </w:numPr>
        <w:tabs>
          <w:tab w:pos="841" w:val="left" w:leader="none"/>
        </w:tabs>
        <w:spacing w:line="360" w:lineRule="auto" w:before="1" w:after="0"/>
        <w:ind w:left="840" w:right="1156" w:hanging="721"/>
        <w:jc w:val="both"/>
        <w:rPr>
          <w:sz w:val="20"/>
        </w:rPr>
      </w:pPr>
      <w:r>
        <w:rPr>
          <w:sz w:val="20"/>
        </w:rPr>
        <w:t>I was the General Counsel for a Canadian publicly listed mining company when the Enron and WorldCom accounting and corporate scandals occurred in the early 2000’s. I recall when the United</w:t>
      </w:r>
      <w:r>
        <w:rPr>
          <w:spacing w:val="-6"/>
          <w:sz w:val="20"/>
        </w:rPr>
        <w:t> </w:t>
      </w:r>
      <w:r>
        <w:rPr>
          <w:sz w:val="20"/>
        </w:rPr>
        <w:t>States</w:t>
      </w:r>
      <w:r>
        <w:rPr>
          <w:spacing w:val="-6"/>
          <w:sz w:val="20"/>
        </w:rPr>
        <w:t> </w:t>
      </w:r>
      <w:r>
        <w:rPr>
          <w:sz w:val="20"/>
        </w:rPr>
        <w:t>Congress</w:t>
      </w:r>
      <w:r>
        <w:rPr>
          <w:spacing w:val="-5"/>
          <w:sz w:val="20"/>
        </w:rPr>
        <w:t> </w:t>
      </w:r>
      <w:r>
        <w:rPr>
          <w:sz w:val="20"/>
        </w:rPr>
        <w:t>enacted</w:t>
      </w:r>
      <w:r>
        <w:rPr>
          <w:spacing w:val="-5"/>
          <w:sz w:val="20"/>
        </w:rPr>
        <w:t> </w:t>
      </w:r>
      <w:r>
        <w:rPr>
          <w:sz w:val="20"/>
        </w:rPr>
        <w:t>the</w:t>
      </w:r>
      <w:r>
        <w:rPr>
          <w:spacing w:val="-5"/>
          <w:sz w:val="20"/>
        </w:rPr>
        <w:t> </w:t>
      </w:r>
      <w:r>
        <w:rPr>
          <w:sz w:val="20"/>
        </w:rPr>
        <w:t>Sarbanes-Oxley</w:t>
      </w:r>
      <w:r>
        <w:rPr>
          <w:spacing w:val="-6"/>
          <w:sz w:val="20"/>
        </w:rPr>
        <w:t> </w:t>
      </w:r>
      <w:r>
        <w:rPr>
          <w:sz w:val="20"/>
        </w:rPr>
        <w:t>Act</w:t>
      </w:r>
      <w:r>
        <w:rPr>
          <w:spacing w:val="-6"/>
          <w:sz w:val="20"/>
        </w:rPr>
        <w:t> </w:t>
      </w:r>
      <w:r>
        <w:rPr>
          <w:sz w:val="20"/>
        </w:rPr>
        <w:t>(“</w:t>
      </w:r>
      <w:r>
        <w:rPr>
          <w:b/>
          <w:sz w:val="20"/>
        </w:rPr>
        <w:t>SOX</w:t>
      </w:r>
      <w:r>
        <w:rPr>
          <w:sz w:val="20"/>
        </w:rPr>
        <w:t>”)</w:t>
      </w:r>
      <w:r>
        <w:rPr>
          <w:spacing w:val="-5"/>
          <w:sz w:val="20"/>
        </w:rPr>
        <w:t> </w:t>
      </w:r>
      <w:r>
        <w:rPr>
          <w:sz w:val="20"/>
        </w:rPr>
        <w:t>in</w:t>
      </w:r>
      <w:r>
        <w:rPr>
          <w:spacing w:val="-5"/>
          <w:sz w:val="20"/>
        </w:rPr>
        <w:t> </w:t>
      </w:r>
      <w:r>
        <w:rPr>
          <w:sz w:val="20"/>
        </w:rPr>
        <w:t>2002</w:t>
      </w:r>
      <w:r>
        <w:rPr>
          <w:spacing w:val="-5"/>
          <w:sz w:val="20"/>
        </w:rPr>
        <w:t> </w:t>
      </w:r>
      <w:r>
        <w:rPr>
          <w:sz w:val="20"/>
        </w:rPr>
        <w:t>that</w:t>
      </w:r>
      <w:r>
        <w:rPr>
          <w:spacing w:val="-7"/>
          <w:sz w:val="20"/>
        </w:rPr>
        <w:t> </w:t>
      </w:r>
      <w:r>
        <w:rPr>
          <w:sz w:val="20"/>
        </w:rPr>
        <w:t>created</w:t>
      </w:r>
      <w:r>
        <w:rPr>
          <w:spacing w:val="-5"/>
          <w:sz w:val="20"/>
        </w:rPr>
        <w:t> </w:t>
      </w:r>
      <w:r>
        <w:rPr>
          <w:sz w:val="20"/>
        </w:rPr>
        <w:t>the</w:t>
      </w:r>
      <w:r>
        <w:rPr>
          <w:spacing w:val="-5"/>
          <w:sz w:val="20"/>
        </w:rPr>
        <w:t> </w:t>
      </w:r>
      <w:r>
        <w:rPr>
          <w:sz w:val="20"/>
        </w:rPr>
        <w:t>modern era of corporate governance, including the requirement to that boards of directors of a public company have a majority of independent</w:t>
      </w:r>
      <w:r>
        <w:rPr>
          <w:spacing w:val="-7"/>
          <w:sz w:val="20"/>
        </w:rPr>
        <w:t> </w:t>
      </w:r>
      <w:r>
        <w:rPr>
          <w:sz w:val="20"/>
        </w:rPr>
        <w:t>directors.</w:t>
      </w:r>
    </w:p>
    <w:p>
      <w:pPr>
        <w:pStyle w:val="BodyText"/>
        <w:spacing w:before="9"/>
      </w:pPr>
    </w:p>
    <w:p>
      <w:pPr>
        <w:pStyle w:val="ListParagraph"/>
        <w:numPr>
          <w:ilvl w:val="0"/>
          <w:numId w:val="1"/>
        </w:numPr>
        <w:tabs>
          <w:tab w:pos="839" w:val="left" w:leader="none"/>
          <w:tab w:pos="840" w:val="left" w:leader="none"/>
        </w:tabs>
        <w:spacing w:line="240" w:lineRule="auto" w:before="1" w:after="0"/>
        <w:ind w:left="839" w:right="0" w:hanging="721"/>
        <w:jc w:val="left"/>
        <w:rPr>
          <w:sz w:val="20"/>
        </w:rPr>
      </w:pPr>
      <w:bookmarkStart w:name="18. As a practicing securities lawyer:" w:id="37"/>
      <w:bookmarkEnd w:id="37"/>
      <w:r>
        <w:rPr/>
      </w:r>
      <w:bookmarkStart w:name="18. As a practicing securities lawyer:" w:id="38"/>
      <w:bookmarkEnd w:id="38"/>
      <w:r>
        <w:rPr>
          <w:sz w:val="20"/>
        </w:rPr>
        <w:t>A</w:t>
      </w:r>
      <w:r>
        <w:rPr>
          <w:sz w:val="20"/>
        </w:rPr>
        <w:t>s a practicing securities</w:t>
      </w:r>
      <w:r>
        <w:rPr>
          <w:spacing w:val="-3"/>
          <w:sz w:val="20"/>
        </w:rPr>
        <w:t> </w:t>
      </w:r>
      <w:r>
        <w:rPr>
          <w:sz w:val="20"/>
        </w:rPr>
        <w:t>lawyer:</w:t>
      </w:r>
    </w:p>
    <w:p>
      <w:pPr>
        <w:pStyle w:val="BodyText"/>
        <w:spacing w:before="11"/>
        <w:rPr>
          <w:sz w:val="30"/>
        </w:rPr>
      </w:pPr>
    </w:p>
    <w:p>
      <w:pPr>
        <w:pStyle w:val="ListParagraph"/>
        <w:numPr>
          <w:ilvl w:val="1"/>
          <w:numId w:val="1"/>
        </w:numPr>
        <w:tabs>
          <w:tab w:pos="1559" w:val="left" w:leader="none"/>
          <w:tab w:pos="1560" w:val="left" w:leader="none"/>
        </w:tabs>
        <w:spacing w:line="350" w:lineRule="auto" w:before="0" w:after="0"/>
        <w:ind w:left="1559" w:right="1483" w:hanging="721"/>
        <w:jc w:val="left"/>
        <w:rPr>
          <w:rFonts w:ascii="Symbol" w:hAnsi="Symbol"/>
          <w:sz w:val="20"/>
        </w:rPr>
      </w:pPr>
      <w:r>
        <w:rPr>
          <w:sz w:val="20"/>
        </w:rPr>
        <w:t>I remember when the Canadian securities administrators and the TSX adopted similar rules in</w:t>
      </w:r>
      <w:r>
        <w:rPr>
          <w:spacing w:val="-2"/>
          <w:sz w:val="20"/>
        </w:rPr>
        <w:t> </w:t>
      </w:r>
      <w:r>
        <w:rPr>
          <w:sz w:val="20"/>
        </w:rPr>
        <w:t>Canada;</w:t>
      </w:r>
    </w:p>
    <w:p>
      <w:pPr>
        <w:pStyle w:val="BodyText"/>
        <w:spacing w:before="9"/>
        <w:rPr>
          <w:sz w:val="30"/>
        </w:rPr>
      </w:pPr>
    </w:p>
    <w:p>
      <w:pPr>
        <w:pStyle w:val="ListParagraph"/>
        <w:numPr>
          <w:ilvl w:val="1"/>
          <w:numId w:val="1"/>
        </w:numPr>
        <w:tabs>
          <w:tab w:pos="1559" w:val="left" w:leader="none"/>
          <w:tab w:pos="1560" w:val="left" w:leader="none"/>
        </w:tabs>
        <w:spacing w:line="350" w:lineRule="auto" w:before="0" w:after="0"/>
        <w:ind w:left="1559" w:right="1156" w:hanging="721"/>
        <w:jc w:val="left"/>
        <w:rPr>
          <w:rFonts w:ascii="Symbol" w:hAnsi="Symbol"/>
          <w:sz w:val="20"/>
        </w:rPr>
      </w:pPr>
      <w:r>
        <w:rPr>
          <w:sz w:val="20"/>
        </w:rPr>
        <w:t>I</w:t>
      </w:r>
      <w:r>
        <w:rPr>
          <w:spacing w:val="-5"/>
          <w:sz w:val="20"/>
        </w:rPr>
        <w:t> </w:t>
      </w:r>
      <w:r>
        <w:rPr>
          <w:sz w:val="20"/>
        </w:rPr>
        <w:t>was</w:t>
      </w:r>
      <w:r>
        <w:rPr>
          <w:spacing w:val="-5"/>
          <w:sz w:val="20"/>
        </w:rPr>
        <w:t> </w:t>
      </w:r>
      <w:r>
        <w:rPr>
          <w:sz w:val="20"/>
        </w:rPr>
        <w:t>required</w:t>
      </w:r>
      <w:r>
        <w:rPr>
          <w:spacing w:val="-3"/>
          <w:sz w:val="20"/>
        </w:rPr>
        <w:t> </w:t>
      </w:r>
      <w:r>
        <w:rPr>
          <w:sz w:val="20"/>
        </w:rPr>
        <w:t>to</w:t>
      </w:r>
      <w:r>
        <w:rPr>
          <w:spacing w:val="-4"/>
          <w:sz w:val="20"/>
        </w:rPr>
        <w:t> </w:t>
      </w:r>
      <w:r>
        <w:rPr>
          <w:sz w:val="20"/>
        </w:rPr>
        <w:t>become</w:t>
      </w:r>
      <w:r>
        <w:rPr>
          <w:spacing w:val="-4"/>
          <w:sz w:val="20"/>
        </w:rPr>
        <w:t> </w:t>
      </w:r>
      <w:r>
        <w:rPr>
          <w:sz w:val="20"/>
        </w:rPr>
        <w:t>fully</w:t>
      </w:r>
      <w:r>
        <w:rPr>
          <w:spacing w:val="-4"/>
          <w:sz w:val="20"/>
        </w:rPr>
        <w:t> </w:t>
      </w:r>
      <w:r>
        <w:rPr>
          <w:sz w:val="20"/>
        </w:rPr>
        <w:t>conversant</w:t>
      </w:r>
      <w:r>
        <w:rPr>
          <w:spacing w:val="-5"/>
          <w:sz w:val="20"/>
        </w:rPr>
        <w:t> </w:t>
      </w:r>
      <w:r>
        <w:rPr>
          <w:sz w:val="20"/>
        </w:rPr>
        <w:t>with</w:t>
      </w:r>
      <w:r>
        <w:rPr>
          <w:spacing w:val="-3"/>
          <w:sz w:val="20"/>
        </w:rPr>
        <w:t> </w:t>
      </w:r>
      <w:r>
        <w:rPr>
          <w:sz w:val="20"/>
        </w:rPr>
        <w:t>these</w:t>
      </w:r>
      <w:r>
        <w:rPr>
          <w:spacing w:val="-5"/>
          <w:sz w:val="20"/>
        </w:rPr>
        <w:t> </w:t>
      </w:r>
      <w:r>
        <w:rPr>
          <w:sz w:val="20"/>
        </w:rPr>
        <w:t>rules</w:t>
      </w:r>
      <w:r>
        <w:rPr>
          <w:spacing w:val="-3"/>
          <w:sz w:val="20"/>
        </w:rPr>
        <w:t> </w:t>
      </w:r>
      <w:r>
        <w:rPr>
          <w:sz w:val="20"/>
        </w:rPr>
        <w:t>in</w:t>
      </w:r>
      <w:r>
        <w:rPr>
          <w:spacing w:val="-4"/>
          <w:sz w:val="20"/>
        </w:rPr>
        <w:t> </w:t>
      </w:r>
      <w:r>
        <w:rPr>
          <w:sz w:val="20"/>
        </w:rPr>
        <w:t>order</w:t>
      </w:r>
      <w:r>
        <w:rPr>
          <w:spacing w:val="-5"/>
          <w:sz w:val="20"/>
        </w:rPr>
        <w:t> </w:t>
      </w:r>
      <w:r>
        <w:rPr>
          <w:sz w:val="20"/>
        </w:rPr>
        <w:t>to</w:t>
      </w:r>
      <w:r>
        <w:rPr>
          <w:spacing w:val="-3"/>
          <w:sz w:val="20"/>
        </w:rPr>
        <w:t> </w:t>
      </w:r>
      <w:r>
        <w:rPr>
          <w:sz w:val="20"/>
        </w:rPr>
        <w:t>advise</w:t>
      </w:r>
      <w:r>
        <w:rPr>
          <w:spacing w:val="-5"/>
          <w:sz w:val="20"/>
        </w:rPr>
        <w:t> </w:t>
      </w:r>
      <w:r>
        <w:rPr>
          <w:sz w:val="20"/>
        </w:rPr>
        <w:t>my</w:t>
      </w:r>
      <w:r>
        <w:rPr>
          <w:spacing w:val="-6"/>
          <w:sz w:val="20"/>
        </w:rPr>
        <w:t> </w:t>
      </w:r>
      <w:r>
        <w:rPr>
          <w:sz w:val="20"/>
        </w:rPr>
        <w:t>clients</w:t>
      </w:r>
      <w:r>
        <w:rPr>
          <w:spacing w:val="-2"/>
          <w:sz w:val="20"/>
        </w:rPr>
        <w:t> </w:t>
      </w:r>
      <w:r>
        <w:rPr>
          <w:sz w:val="20"/>
        </w:rPr>
        <w:t>on governance matters;</w:t>
      </w:r>
      <w:r>
        <w:rPr>
          <w:spacing w:val="-4"/>
          <w:sz w:val="20"/>
        </w:rPr>
        <w:t> </w:t>
      </w:r>
      <w:r>
        <w:rPr>
          <w:sz w:val="20"/>
        </w:rPr>
        <w:t>and</w:t>
      </w:r>
    </w:p>
    <w:p>
      <w:pPr>
        <w:pStyle w:val="BodyText"/>
        <w:spacing w:before="8"/>
        <w:rPr>
          <w:sz w:val="21"/>
        </w:rPr>
      </w:pPr>
    </w:p>
    <w:p>
      <w:pPr>
        <w:pStyle w:val="ListParagraph"/>
        <w:numPr>
          <w:ilvl w:val="1"/>
          <w:numId w:val="1"/>
        </w:numPr>
        <w:tabs>
          <w:tab w:pos="1559" w:val="left" w:leader="none"/>
          <w:tab w:pos="1560" w:val="left" w:leader="none"/>
        </w:tabs>
        <w:spacing w:line="350" w:lineRule="auto" w:before="1" w:after="0"/>
        <w:ind w:left="1559" w:right="1159" w:hanging="721"/>
        <w:jc w:val="left"/>
        <w:rPr>
          <w:rFonts w:ascii="Symbol" w:hAnsi="Symbol"/>
          <w:sz w:val="20"/>
        </w:rPr>
      </w:pPr>
      <w:bookmarkStart w:name=" I have witnessed first hand the evolut" w:id="39"/>
      <w:bookmarkEnd w:id="39"/>
      <w:r>
        <w:rPr/>
      </w:r>
      <w:bookmarkStart w:name=" I have witnessed first hand the evolut" w:id="40"/>
      <w:bookmarkEnd w:id="40"/>
      <w:r>
        <w:rPr>
          <w:sz w:val="20"/>
        </w:rPr>
        <w:t>I</w:t>
      </w:r>
      <w:r>
        <w:rPr>
          <w:sz w:val="20"/>
        </w:rPr>
        <w:t> have witnessed first hand the evolution of corporate governance over the past 20 years; and</w:t>
      </w:r>
    </w:p>
    <w:p>
      <w:pPr>
        <w:pStyle w:val="BodyText"/>
        <w:spacing w:before="9"/>
        <w:rPr>
          <w:sz w:val="21"/>
        </w:rPr>
      </w:pPr>
    </w:p>
    <w:p>
      <w:pPr>
        <w:pStyle w:val="ListParagraph"/>
        <w:numPr>
          <w:ilvl w:val="1"/>
          <w:numId w:val="1"/>
        </w:numPr>
        <w:tabs>
          <w:tab w:pos="1559" w:val="left" w:leader="none"/>
          <w:tab w:pos="1560" w:val="left" w:leader="none"/>
        </w:tabs>
        <w:spacing w:line="355" w:lineRule="auto" w:before="0" w:after="0"/>
        <w:ind w:left="1559" w:right="1157" w:hanging="721"/>
        <w:jc w:val="both"/>
        <w:rPr>
          <w:rFonts w:ascii="Symbol" w:hAnsi="Symbol"/>
          <w:sz w:val="20"/>
        </w:rPr>
      </w:pPr>
      <w:bookmarkStart w:name=" the requirement to have a majority of " w:id="41"/>
      <w:bookmarkEnd w:id="41"/>
      <w:r>
        <w:rPr/>
      </w:r>
      <w:bookmarkStart w:name=" the requirement to have a majority of " w:id="42"/>
      <w:bookmarkEnd w:id="42"/>
      <w:r>
        <w:rPr>
          <w:sz w:val="20"/>
        </w:rPr>
        <w:t>t</w:t>
      </w:r>
      <w:r>
        <w:rPr>
          <w:sz w:val="20"/>
        </w:rPr>
        <w:t>he requirement to have a majority of independent directors on a board of directors of a Canadian</w:t>
      </w:r>
      <w:r>
        <w:rPr>
          <w:spacing w:val="-5"/>
          <w:sz w:val="20"/>
        </w:rPr>
        <w:t> </w:t>
      </w:r>
      <w:r>
        <w:rPr>
          <w:sz w:val="20"/>
        </w:rPr>
        <w:t>public</w:t>
      </w:r>
      <w:r>
        <w:rPr>
          <w:spacing w:val="-5"/>
          <w:sz w:val="20"/>
        </w:rPr>
        <w:t> </w:t>
      </w:r>
      <w:r>
        <w:rPr>
          <w:sz w:val="20"/>
        </w:rPr>
        <w:t>company</w:t>
      </w:r>
      <w:r>
        <w:rPr>
          <w:spacing w:val="-5"/>
          <w:sz w:val="20"/>
        </w:rPr>
        <w:t> </w:t>
      </w:r>
      <w:r>
        <w:rPr>
          <w:sz w:val="20"/>
        </w:rPr>
        <w:t>has</w:t>
      </w:r>
      <w:r>
        <w:rPr>
          <w:spacing w:val="-5"/>
          <w:sz w:val="20"/>
        </w:rPr>
        <w:t> </w:t>
      </w:r>
      <w:r>
        <w:rPr>
          <w:sz w:val="20"/>
        </w:rPr>
        <w:t>been</w:t>
      </w:r>
      <w:r>
        <w:rPr>
          <w:spacing w:val="-5"/>
          <w:sz w:val="20"/>
        </w:rPr>
        <w:t> </w:t>
      </w:r>
      <w:r>
        <w:rPr>
          <w:sz w:val="20"/>
        </w:rPr>
        <w:t>standard</w:t>
      </w:r>
      <w:r>
        <w:rPr>
          <w:spacing w:val="-4"/>
          <w:sz w:val="20"/>
        </w:rPr>
        <w:t> </w:t>
      </w:r>
      <w:r>
        <w:rPr>
          <w:sz w:val="20"/>
        </w:rPr>
        <w:t>Canadian</w:t>
      </w:r>
      <w:r>
        <w:rPr>
          <w:spacing w:val="-4"/>
          <w:sz w:val="20"/>
        </w:rPr>
        <w:t> </w:t>
      </w:r>
      <w:r>
        <w:rPr>
          <w:sz w:val="20"/>
        </w:rPr>
        <w:t>business</w:t>
      </w:r>
      <w:r>
        <w:rPr>
          <w:spacing w:val="-4"/>
          <w:sz w:val="20"/>
        </w:rPr>
        <w:t> </w:t>
      </w:r>
      <w:r>
        <w:rPr>
          <w:sz w:val="20"/>
        </w:rPr>
        <w:t>practice,</w:t>
      </w:r>
      <w:r>
        <w:rPr>
          <w:spacing w:val="-5"/>
          <w:sz w:val="20"/>
        </w:rPr>
        <w:t> </w:t>
      </w:r>
      <w:r>
        <w:rPr>
          <w:sz w:val="20"/>
        </w:rPr>
        <w:t>as</w:t>
      </w:r>
      <w:r>
        <w:rPr>
          <w:spacing w:val="-5"/>
          <w:sz w:val="20"/>
        </w:rPr>
        <w:t> </w:t>
      </w:r>
      <w:r>
        <w:rPr>
          <w:sz w:val="20"/>
        </w:rPr>
        <w:t>well</w:t>
      </w:r>
      <w:r>
        <w:rPr>
          <w:spacing w:val="-4"/>
          <w:sz w:val="20"/>
        </w:rPr>
        <w:t> </w:t>
      </w:r>
      <w:r>
        <w:rPr>
          <w:sz w:val="20"/>
        </w:rPr>
        <w:t>the</w:t>
      </w:r>
      <w:r>
        <w:rPr>
          <w:spacing w:val="-4"/>
          <w:sz w:val="20"/>
        </w:rPr>
        <w:t> </w:t>
      </w:r>
      <w:r>
        <w:rPr>
          <w:sz w:val="20"/>
        </w:rPr>
        <w:t>law in Canada, for almost 20</w:t>
      </w:r>
      <w:r>
        <w:rPr>
          <w:spacing w:val="-5"/>
          <w:sz w:val="20"/>
        </w:rPr>
        <w:t> </w:t>
      </w:r>
      <w:r>
        <w:rPr>
          <w:sz w:val="20"/>
        </w:rPr>
        <w:t>years.</w:t>
      </w:r>
    </w:p>
    <w:p>
      <w:pPr>
        <w:pStyle w:val="BodyText"/>
        <w:spacing w:before="2"/>
        <w:rPr>
          <w:sz w:val="21"/>
        </w:rPr>
      </w:pPr>
    </w:p>
    <w:p>
      <w:pPr>
        <w:pStyle w:val="ListParagraph"/>
        <w:numPr>
          <w:ilvl w:val="0"/>
          <w:numId w:val="1"/>
        </w:numPr>
        <w:tabs>
          <w:tab w:pos="840" w:val="left" w:leader="none"/>
        </w:tabs>
        <w:spacing w:line="360" w:lineRule="auto" w:before="0" w:after="0"/>
        <w:ind w:left="840" w:right="1156" w:hanging="721"/>
        <w:jc w:val="both"/>
        <w:rPr>
          <w:sz w:val="20"/>
        </w:rPr>
      </w:pPr>
      <w:bookmarkStart w:name="19. I verily believe that GSFC, and the " w:id="43"/>
      <w:bookmarkEnd w:id="43"/>
      <w:r>
        <w:rPr/>
      </w:r>
      <w:bookmarkStart w:name="19. I verily believe that GSFC, and the " w:id="44"/>
      <w:bookmarkEnd w:id="44"/>
      <w:r>
        <w:rPr>
          <w:sz w:val="20"/>
        </w:rPr>
        <w:t>I</w:t>
      </w:r>
      <w:r>
        <w:rPr>
          <w:spacing w:val="-17"/>
          <w:sz w:val="20"/>
        </w:rPr>
        <w:t> </w:t>
      </w:r>
      <w:r>
        <w:rPr>
          <w:sz w:val="20"/>
        </w:rPr>
        <w:t>verily</w:t>
      </w:r>
      <w:r>
        <w:rPr>
          <w:spacing w:val="-14"/>
          <w:sz w:val="20"/>
        </w:rPr>
        <w:t> </w:t>
      </w:r>
      <w:r>
        <w:rPr>
          <w:sz w:val="20"/>
        </w:rPr>
        <w:t>believe</w:t>
      </w:r>
      <w:r>
        <w:rPr>
          <w:spacing w:val="-15"/>
          <w:sz w:val="20"/>
        </w:rPr>
        <w:t> </w:t>
      </w:r>
      <w:r>
        <w:rPr>
          <w:sz w:val="20"/>
        </w:rPr>
        <w:t>that</w:t>
      </w:r>
      <w:r>
        <w:rPr>
          <w:spacing w:val="-15"/>
          <w:sz w:val="20"/>
        </w:rPr>
        <w:t> </w:t>
      </w:r>
      <w:r>
        <w:rPr>
          <w:sz w:val="20"/>
        </w:rPr>
        <w:t>GSFC,</w:t>
      </w:r>
      <w:r>
        <w:rPr>
          <w:spacing w:val="-18"/>
          <w:sz w:val="20"/>
        </w:rPr>
        <w:t> </w:t>
      </w:r>
      <w:r>
        <w:rPr>
          <w:sz w:val="20"/>
        </w:rPr>
        <w:t>and</w:t>
      </w:r>
      <w:r>
        <w:rPr>
          <w:spacing w:val="-15"/>
          <w:sz w:val="20"/>
        </w:rPr>
        <w:t> </w:t>
      </w:r>
      <w:r>
        <w:rPr>
          <w:sz w:val="20"/>
        </w:rPr>
        <w:t>the</w:t>
      </w:r>
      <w:r>
        <w:rPr>
          <w:spacing w:val="-15"/>
          <w:sz w:val="20"/>
        </w:rPr>
        <w:t> </w:t>
      </w:r>
      <w:r>
        <w:rPr>
          <w:sz w:val="20"/>
        </w:rPr>
        <w:t>GSFC</w:t>
      </w:r>
      <w:r>
        <w:rPr>
          <w:spacing w:val="-14"/>
          <w:sz w:val="20"/>
        </w:rPr>
        <w:t> </w:t>
      </w:r>
      <w:r>
        <w:rPr>
          <w:sz w:val="20"/>
        </w:rPr>
        <w:t>Nominees,</w:t>
      </w:r>
      <w:r>
        <w:rPr>
          <w:spacing w:val="-18"/>
          <w:sz w:val="20"/>
        </w:rPr>
        <w:t> </w:t>
      </w:r>
      <w:r>
        <w:rPr>
          <w:sz w:val="20"/>
        </w:rPr>
        <w:t>are</w:t>
      </w:r>
      <w:r>
        <w:rPr>
          <w:spacing w:val="-15"/>
          <w:sz w:val="20"/>
        </w:rPr>
        <w:t> </w:t>
      </w:r>
      <w:r>
        <w:rPr>
          <w:sz w:val="20"/>
        </w:rPr>
        <w:t>fully</w:t>
      </w:r>
      <w:r>
        <w:rPr>
          <w:spacing w:val="-14"/>
          <w:sz w:val="20"/>
        </w:rPr>
        <w:t> </w:t>
      </w:r>
      <w:r>
        <w:rPr>
          <w:sz w:val="20"/>
        </w:rPr>
        <w:t>aware</w:t>
      </w:r>
      <w:r>
        <w:rPr>
          <w:spacing w:val="-15"/>
          <w:sz w:val="20"/>
        </w:rPr>
        <w:t> </w:t>
      </w:r>
      <w:r>
        <w:rPr>
          <w:sz w:val="20"/>
        </w:rPr>
        <w:t>of</w:t>
      </w:r>
      <w:r>
        <w:rPr>
          <w:spacing w:val="-16"/>
          <w:sz w:val="20"/>
        </w:rPr>
        <w:t> </w:t>
      </w:r>
      <w:r>
        <w:rPr>
          <w:sz w:val="20"/>
        </w:rPr>
        <w:t>the</w:t>
      </w:r>
      <w:r>
        <w:rPr>
          <w:spacing w:val="-15"/>
          <w:sz w:val="20"/>
        </w:rPr>
        <w:t> </w:t>
      </w:r>
      <w:r>
        <w:rPr>
          <w:sz w:val="20"/>
        </w:rPr>
        <w:t>laws</w:t>
      </w:r>
      <w:r>
        <w:rPr>
          <w:spacing w:val="-16"/>
          <w:sz w:val="20"/>
        </w:rPr>
        <w:t> </w:t>
      </w:r>
      <w:r>
        <w:rPr>
          <w:sz w:val="20"/>
        </w:rPr>
        <w:t>and</w:t>
      </w:r>
      <w:r>
        <w:rPr>
          <w:spacing w:val="-15"/>
          <w:sz w:val="20"/>
        </w:rPr>
        <w:t> </w:t>
      </w:r>
      <w:r>
        <w:rPr>
          <w:sz w:val="20"/>
        </w:rPr>
        <w:t>rules</w:t>
      </w:r>
      <w:r>
        <w:rPr>
          <w:spacing w:val="-15"/>
          <w:sz w:val="20"/>
        </w:rPr>
        <w:t> </w:t>
      </w:r>
      <w:r>
        <w:rPr>
          <w:sz w:val="20"/>
        </w:rPr>
        <w:t>in</w:t>
      </w:r>
      <w:r>
        <w:rPr>
          <w:spacing w:val="-15"/>
          <w:sz w:val="20"/>
        </w:rPr>
        <w:t> </w:t>
      </w:r>
      <w:r>
        <w:rPr>
          <w:sz w:val="20"/>
        </w:rPr>
        <w:t>Canada regarding</w:t>
      </w:r>
      <w:r>
        <w:rPr>
          <w:spacing w:val="-4"/>
          <w:sz w:val="20"/>
        </w:rPr>
        <w:t> </w:t>
      </w:r>
      <w:r>
        <w:rPr>
          <w:sz w:val="20"/>
        </w:rPr>
        <w:t>the</w:t>
      </w:r>
      <w:r>
        <w:rPr>
          <w:spacing w:val="-4"/>
          <w:sz w:val="20"/>
        </w:rPr>
        <w:t> </w:t>
      </w:r>
      <w:r>
        <w:rPr>
          <w:sz w:val="20"/>
        </w:rPr>
        <w:t>requirement</w:t>
      </w:r>
      <w:r>
        <w:rPr>
          <w:spacing w:val="-5"/>
          <w:sz w:val="20"/>
        </w:rPr>
        <w:t> </w:t>
      </w:r>
      <w:r>
        <w:rPr>
          <w:sz w:val="20"/>
        </w:rPr>
        <w:t>for</w:t>
      </w:r>
      <w:r>
        <w:rPr>
          <w:spacing w:val="-3"/>
          <w:sz w:val="20"/>
        </w:rPr>
        <w:t> </w:t>
      </w:r>
      <w:r>
        <w:rPr>
          <w:sz w:val="20"/>
        </w:rPr>
        <w:t>a</w:t>
      </w:r>
      <w:r>
        <w:rPr>
          <w:spacing w:val="-4"/>
          <w:sz w:val="20"/>
        </w:rPr>
        <w:t> </w:t>
      </w:r>
      <w:r>
        <w:rPr>
          <w:sz w:val="20"/>
        </w:rPr>
        <w:t>board</w:t>
      </w:r>
      <w:r>
        <w:rPr>
          <w:spacing w:val="-3"/>
          <w:sz w:val="20"/>
        </w:rPr>
        <w:t> </w:t>
      </w:r>
      <w:r>
        <w:rPr>
          <w:sz w:val="20"/>
        </w:rPr>
        <w:t>of</w:t>
      </w:r>
      <w:r>
        <w:rPr>
          <w:spacing w:val="-5"/>
          <w:sz w:val="20"/>
        </w:rPr>
        <w:t> </w:t>
      </w:r>
      <w:r>
        <w:rPr>
          <w:sz w:val="20"/>
        </w:rPr>
        <w:t>directors</w:t>
      </w:r>
      <w:r>
        <w:rPr>
          <w:spacing w:val="-3"/>
          <w:sz w:val="20"/>
        </w:rPr>
        <w:t> </w:t>
      </w:r>
      <w:r>
        <w:rPr>
          <w:sz w:val="20"/>
        </w:rPr>
        <w:t>of</w:t>
      </w:r>
      <w:r>
        <w:rPr>
          <w:spacing w:val="-4"/>
          <w:sz w:val="20"/>
        </w:rPr>
        <w:t> </w:t>
      </w:r>
      <w:r>
        <w:rPr>
          <w:sz w:val="20"/>
        </w:rPr>
        <w:t>a</w:t>
      </w:r>
      <w:r>
        <w:rPr>
          <w:spacing w:val="-5"/>
          <w:sz w:val="20"/>
        </w:rPr>
        <w:t> </w:t>
      </w:r>
      <w:r>
        <w:rPr>
          <w:sz w:val="20"/>
        </w:rPr>
        <w:t>Canadian</w:t>
      </w:r>
      <w:r>
        <w:rPr>
          <w:spacing w:val="-3"/>
          <w:sz w:val="20"/>
        </w:rPr>
        <w:t> </w:t>
      </w:r>
      <w:r>
        <w:rPr>
          <w:sz w:val="20"/>
        </w:rPr>
        <w:t>publicly</w:t>
      </w:r>
      <w:r>
        <w:rPr>
          <w:spacing w:val="-3"/>
          <w:sz w:val="20"/>
        </w:rPr>
        <w:t> </w:t>
      </w:r>
      <w:r>
        <w:rPr>
          <w:sz w:val="20"/>
        </w:rPr>
        <w:t>listed</w:t>
      </w:r>
      <w:r>
        <w:rPr>
          <w:spacing w:val="-4"/>
          <w:sz w:val="20"/>
        </w:rPr>
        <w:t> </w:t>
      </w:r>
      <w:r>
        <w:rPr>
          <w:sz w:val="20"/>
        </w:rPr>
        <w:t>company</w:t>
      </w:r>
      <w:r>
        <w:rPr>
          <w:spacing w:val="-2"/>
          <w:sz w:val="20"/>
        </w:rPr>
        <w:t> </w:t>
      </w:r>
      <w:r>
        <w:rPr>
          <w:sz w:val="20"/>
        </w:rPr>
        <w:t>to</w:t>
      </w:r>
      <w:r>
        <w:rPr>
          <w:spacing w:val="-4"/>
          <w:sz w:val="20"/>
        </w:rPr>
        <w:t> </w:t>
      </w:r>
      <w:r>
        <w:rPr>
          <w:sz w:val="20"/>
        </w:rPr>
        <w:t>have</w:t>
      </w:r>
      <w:r>
        <w:rPr>
          <w:spacing w:val="-3"/>
          <w:sz w:val="20"/>
        </w:rPr>
        <w:t> </w:t>
      </w:r>
      <w:r>
        <w:rPr>
          <w:sz w:val="20"/>
        </w:rPr>
        <w:t>a majority of independent directors, and for an audit committee and a nominating committee to be comprised of 100% of independent</w:t>
      </w:r>
      <w:r>
        <w:rPr>
          <w:spacing w:val="-7"/>
          <w:sz w:val="20"/>
        </w:rPr>
        <w:t> </w:t>
      </w:r>
      <w:r>
        <w:rPr>
          <w:sz w:val="20"/>
        </w:rPr>
        <w:t>directors.</w:t>
      </w:r>
    </w:p>
    <w:p>
      <w:pPr>
        <w:pStyle w:val="BodyText"/>
        <w:rPr>
          <w:sz w:val="21"/>
        </w:rPr>
      </w:pPr>
    </w:p>
    <w:p>
      <w:pPr>
        <w:pStyle w:val="Heading1"/>
        <w:ind w:left="119" w:firstLine="0"/>
      </w:pPr>
      <w:r>
        <w:rPr/>
        <w:t>GSFC Subscription Agreement – Contractual Right to Appoint Directors</w:t>
      </w:r>
    </w:p>
    <w:p>
      <w:pPr>
        <w:pStyle w:val="BodyText"/>
        <w:spacing w:before="9"/>
        <w:rPr>
          <w:b/>
        </w:rPr>
      </w:pPr>
    </w:p>
    <w:p>
      <w:pPr>
        <w:pStyle w:val="ListParagraph"/>
        <w:numPr>
          <w:ilvl w:val="0"/>
          <w:numId w:val="1"/>
        </w:numPr>
        <w:tabs>
          <w:tab w:pos="840" w:val="left" w:leader="none"/>
        </w:tabs>
        <w:spacing w:line="360" w:lineRule="auto" w:before="0" w:after="0"/>
        <w:ind w:left="839" w:right="1155" w:hanging="721"/>
        <w:jc w:val="both"/>
        <w:rPr>
          <w:sz w:val="20"/>
        </w:rPr>
      </w:pPr>
      <w:r>
        <w:rPr>
          <w:sz w:val="20"/>
        </w:rPr>
        <w:t>I have reviewed the subscription agreement dated January 13, 2013 (the “</w:t>
      </w:r>
      <w:r>
        <w:rPr>
          <w:b/>
          <w:sz w:val="20"/>
        </w:rPr>
        <w:t>Subscription Agreement</w:t>
      </w:r>
      <w:r>
        <w:rPr>
          <w:sz w:val="20"/>
        </w:rPr>
        <w:t>”) between KRN and GSFC, pursuant to which GSFC became a 19.98% shareholder of KRN, a copy of which is filed on System for Electronic Document Analysis and Retrieval (“</w:t>
      </w:r>
      <w:r>
        <w:rPr>
          <w:b/>
          <w:sz w:val="20"/>
        </w:rPr>
        <w:t>SEDAR”</w:t>
      </w:r>
      <w:r>
        <w:rPr>
          <w:sz w:val="20"/>
        </w:rPr>
        <w:t>).</w:t>
      </w:r>
      <w:r>
        <w:rPr>
          <w:spacing w:val="42"/>
          <w:sz w:val="20"/>
        </w:rPr>
        <w:t> </w:t>
      </w:r>
      <w:r>
        <w:rPr>
          <w:sz w:val="20"/>
        </w:rPr>
        <w:t>Attached</w:t>
      </w:r>
      <w:r>
        <w:rPr>
          <w:spacing w:val="-6"/>
          <w:sz w:val="20"/>
        </w:rPr>
        <w:t> </w:t>
      </w:r>
      <w:r>
        <w:rPr>
          <w:sz w:val="20"/>
        </w:rPr>
        <w:t>and</w:t>
      </w:r>
      <w:r>
        <w:rPr>
          <w:spacing w:val="-6"/>
          <w:sz w:val="20"/>
        </w:rPr>
        <w:t> </w:t>
      </w:r>
      <w:r>
        <w:rPr>
          <w:sz w:val="20"/>
        </w:rPr>
        <w:t>marked</w:t>
      </w:r>
      <w:r>
        <w:rPr>
          <w:spacing w:val="-7"/>
          <w:sz w:val="20"/>
        </w:rPr>
        <w:t> </w:t>
      </w:r>
      <w:r>
        <w:rPr>
          <w:sz w:val="20"/>
        </w:rPr>
        <w:t>as</w:t>
      </w:r>
      <w:r>
        <w:rPr>
          <w:spacing w:val="-6"/>
          <w:sz w:val="20"/>
        </w:rPr>
        <w:t> </w:t>
      </w:r>
      <w:r>
        <w:rPr>
          <w:b/>
          <w:sz w:val="20"/>
        </w:rPr>
        <w:t>Exhibit</w:t>
      </w:r>
      <w:r>
        <w:rPr>
          <w:b/>
          <w:spacing w:val="-5"/>
          <w:sz w:val="20"/>
        </w:rPr>
        <w:t> </w:t>
      </w:r>
      <w:r>
        <w:rPr>
          <w:b/>
          <w:sz w:val="20"/>
        </w:rPr>
        <w:t>“J”</w:t>
      </w:r>
      <w:r>
        <w:rPr>
          <w:b/>
          <w:spacing w:val="-6"/>
          <w:sz w:val="20"/>
        </w:rPr>
        <w:t> </w:t>
      </w:r>
      <w:r>
        <w:rPr>
          <w:sz w:val="20"/>
        </w:rPr>
        <w:t>to</w:t>
      </w:r>
      <w:r>
        <w:rPr>
          <w:spacing w:val="-5"/>
          <w:sz w:val="20"/>
        </w:rPr>
        <w:t> </w:t>
      </w:r>
      <w:r>
        <w:rPr>
          <w:sz w:val="20"/>
        </w:rPr>
        <w:t>the</w:t>
      </w:r>
      <w:r>
        <w:rPr>
          <w:spacing w:val="-5"/>
          <w:sz w:val="20"/>
        </w:rPr>
        <w:t> </w:t>
      </w:r>
      <w:r>
        <w:rPr>
          <w:sz w:val="20"/>
        </w:rPr>
        <w:t>FDW</w:t>
      </w:r>
      <w:r>
        <w:rPr>
          <w:spacing w:val="-6"/>
          <w:sz w:val="20"/>
        </w:rPr>
        <w:t> </w:t>
      </w:r>
      <w:r>
        <w:rPr>
          <w:sz w:val="20"/>
        </w:rPr>
        <w:t>Affidavit</w:t>
      </w:r>
      <w:r>
        <w:rPr>
          <w:spacing w:val="-6"/>
          <w:sz w:val="20"/>
        </w:rPr>
        <w:t> </w:t>
      </w:r>
      <w:r>
        <w:rPr>
          <w:sz w:val="20"/>
        </w:rPr>
        <w:t>is</w:t>
      </w:r>
      <w:r>
        <w:rPr>
          <w:spacing w:val="-6"/>
          <w:sz w:val="20"/>
        </w:rPr>
        <w:t> </w:t>
      </w:r>
      <w:r>
        <w:rPr>
          <w:sz w:val="20"/>
        </w:rPr>
        <w:t>a</w:t>
      </w:r>
      <w:r>
        <w:rPr>
          <w:spacing w:val="-6"/>
          <w:sz w:val="20"/>
        </w:rPr>
        <w:t> </w:t>
      </w:r>
      <w:r>
        <w:rPr>
          <w:sz w:val="20"/>
        </w:rPr>
        <w:t>copy</w:t>
      </w:r>
      <w:r>
        <w:rPr>
          <w:spacing w:val="-5"/>
          <w:sz w:val="20"/>
        </w:rPr>
        <w:t> </w:t>
      </w:r>
      <w:r>
        <w:rPr>
          <w:sz w:val="20"/>
        </w:rPr>
        <w:t>of</w:t>
      </w:r>
      <w:r>
        <w:rPr>
          <w:spacing w:val="-6"/>
          <w:sz w:val="20"/>
        </w:rPr>
        <w:t> </w:t>
      </w:r>
      <w:r>
        <w:rPr>
          <w:sz w:val="20"/>
        </w:rPr>
        <w:t>Section</w:t>
      </w:r>
      <w:r>
        <w:rPr>
          <w:spacing w:val="-6"/>
          <w:sz w:val="20"/>
        </w:rPr>
        <w:t> </w:t>
      </w:r>
      <w:r>
        <w:rPr>
          <w:sz w:val="20"/>
        </w:rPr>
        <w:t>4.1</w:t>
      </w:r>
      <w:r>
        <w:rPr>
          <w:spacing w:val="-7"/>
          <w:sz w:val="20"/>
        </w:rPr>
        <w:t> </w:t>
      </w:r>
      <w:r>
        <w:rPr>
          <w:sz w:val="20"/>
        </w:rPr>
        <w:t>the Subscription Agreement. Attached and marked as </w:t>
      </w:r>
      <w:r>
        <w:rPr>
          <w:b/>
          <w:sz w:val="20"/>
        </w:rPr>
        <w:t>Exhibit “K” </w:t>
      </w:r>
      <w:r>
        <w:rPr>
          <w:sz w:val="20"/>
        </w:rPr>
        <w:t>to the FDW Affidavit is a copy of GSFC’s press release of March 7,</w:t>
      </w:r>
      <w:r>
        <w:rPr>
          <w:spacing w:val="-5"/>
          <w:sz w:val="20"/>
        </w:rPr>
        <w:t> </w:t>
      </w:r>
      <w:r>
        <w:rPr>
          <w:sz w:val="20"/>
        </w:rPr>
        <w:t>2013.</w:t>
      </w:r>
    </w:p>
    <w:p>
      <w:pPr>
        <w:spacing w:after="0" w:line="360" w:lineRule="auto"/>
        <w:jc w:val="both"/>
        <w:rPr>
          <w:sz w:val="20"/>
        </w:rPr>
        <w:sectPr>
          <w:pgSz w:w="12240" w:h="15840"/>
          <w:pgMar w:header="0" w:footer="1259" w:top="1220" w:bottom="1440" w:left="1320" w:right="280"/>
        </w:sectPr>
      </w:pPr>
    </w:p>
    <w:p>
      <w:pPr>
        <w:pStyle w:val="ListParagraph"/>
        <w:numPr>
          <w:ilvl w:val="0"/>
          <w:numId w:val="1"/>
        </w:numPr>
        <w:tabs>
          <w:tab w:pos="839" w:val="left" w:leader="none"/>
          <w:tab w:pos="841" w:val="left" w:leader="none"/>
        </w:tabs>
        <w:spacing w:line="240" w:lineRule="auto" w:before="75" w:after="0"/>
        <w:ind w:left="840" w:right="0" w:hanging="721"/>
        <w:jc w:val="left"/>
        <w:rPr>
          <w:sz w:val="20"/>
        </w:rPr>
      </w:pPr>
      <w:r>
        <w:rPr/>
        <w:drawing>
          <wp:anchor distT="0" distB="0" distL="0" distR="0" allowOverlap="1" layoutInCell="1" locked="0" behindDoc="0" simplePos="0" relativeHeight="251670528">
            <wp:simplePos x="0" y="0"/>
            <wp:positionH relativeFrom="page">
              <wp:posOffset>6834606</wp:posOffset>
            </wp:positionH>
            <wp:positionV relativeFrom="page">
              <wp:posOffset>9401972</wp:posOffset>
            </wp:positionV>
            <wp:extent cx="547560" cy="555707"/>
            <wp:effectExtent l="0" t="0" r="0" b="0"/>
            <wp:wrapNone/>
            <wp:docPr id="9" name="image4.png"/>
            <wp:cNvGraphicFramePr>
              <a:graphicFrameLocks noChangeAspect="1"/>
            </wp:cNvGraphicFramePr>
            <a:graphic>
              <a:graphicData uri="http://schemas.openxmlformats.org/drawingml/2006/picture">
                <pic:pic>
                  <pic:nvPicPr>
                    <pic:cNvPr id="10" name="image4.png"/>
                    <pic:cNvPicPr/>
                  </pic:nvPicPr>
                  <pic:blipFill>
                    <a:blip r:embed="rId9" cstate="print"/>
                    <a:stretch>
                      <a:fillRect/>
                    </a:stretch>
                  </pic:blipFill>
                  <pic:spPr>
                    <a:xfrm>
                      <a:off x="0" y="0"/>
                      <a:ext cx="547560" cy="555707"/>
                    </a:xfrm>
                    <a:prstGeom prst="rect">
                      <a:avLst/>
                    </a:prstGeom>
                  </pic:spPr>
                </pic:pic>
              </a:graphicData>
            </a:graphic>
          </wp:anchor>
        </w:drawing>
      </w:r>
      <w:r>
        <w:rPr/>
        <w:drawing>
          <wp:anchor distT="0" distB="0" distL="0" distR="0" allowOverlap="1" layoutInCell="1" locked="0" behindDoc="0" simplePos="0" relativeHeight="251671552">
            <wp:simplePos x="0" y="0"/>
            <wp:positionH relativeFrom="page">
              <wp:posOffset>5656999</wp:posOffset>
            </wp:positionH>
            <wp:positionV relativeFrom="page">
              <wp:posOffset>9334386</wp:posOffset>
            </wp:positionV>
            <wp:extent cx="876722" cy="555707"/>
            <wp:effectExtent l="0" t="0" r="0" b="0"/>
            <wp:wrapNone/>
            <wp:docPr id="11" name="image5.png"/>
            <wp:cNvGraphicFramePr>
              <a:graphicFrameLocks noChangeAspect="1"/>
            </wp:cNvGraphicFramePr>
            <a:graphic>
              <a:graphicData uri="http://schemas.openxmlformats.org/drawingml/2006/picture">
                <pic:pic>
                  <pic:nvPicPr>
                    <pic:cNvPr id="12" name="image5.png"/>
                    <pic:cNvPicPr/>
                  </pic:nvPicPr>
                  <pic:blipFill>
                    <a:blip r:embed="rId10" cstate="print"/>
                    <a:stretch>
                      <a:fillRect/>
                    </a:stretch>
                  </pic:blipFill>
                  <pic:spPr>
                    <a:xfrm>
                      <a:off x="0" y="0"/>
                      <a:ext cx="876722" cy="555707"/>
                    </a:xfrm>
                    <a:prstGeom prst="rect">
                      <a:avLst/>
                    </a:prstGeom>
                  </pic:spPr>
                </pic:pic>
              </a:graphicData>
            </a:graphic>
          </wp:anchor>
        </w:drawing>
      </w:r>
      <w:r>
        <w:rPr>
          <w:color w:val="231F20"/>
          <w:sz w:val="20"/>
        </w:rPr>
        <w:t>Section 4.1 of the Subscription Agreement, which reads as</w:t>
      </w:r>
      <w:r>
        <w:rPr>
          <w:color w:val="231F20"/>
          <w:spacing w:val="-12"/>
          <w:sz w:val="20"/>
        </w:rPr>
        <w:t> </w:t>
      </w:r>
      <w:r>
        <w:rPr>
          <w:color w:val="231F20"/>
          <w:sz w:val="20"/>
        </w:rPr>
        <w:t>follows:</w:t>
      </w:r>
    </w:p>
    <w:p>
      <w:pPr>
        <w:pStyle w:val="BodyText"/>
        <w:spacing w:before="11"/>
        <w:rPr>
          <w:sz w:val="30"/>
        </w:rPr>
      </w:pPr>
    </w:p>
    <w:p>
      <w:pPr>
        <w:spacing w:before="0"/>
        <w:ind w:left="840" w:right="0" w:firstLine="0"/>
        <w:jc w:val="left"/>
        <w:rPr>
          <w:i/>
          <w:sz w:val="20"/>
        </w:rPr>
      </w:pPr>
      <w:r>
        <w:rPr>
          <w:w w:val="105"/>
          <w:sz w:val="20"/>
        </w:rPr>
        <w:t>“4.1 - </w:t>
      </w:r>
      <w:r>
        <w:rPr>
          <w:i/>
          <w:w w:val="105"/>
          <w:sz w:val="20"/>
          <w:u w:val="single"/>
        </w:rPr>
        <w:t>Investor Nominee to the Board of Directors</w:t>
      </w:r>
    </w:p>
    <w:p>
      <w:pPr>
        <w:pStyle w:val="BodyText"/>
        <w:spacing w:before="7"/>
        <w:rPr>
          <w:i/>
          <w:sz w:val="12"/>
        </w:rPr>
      </w:pPr>
    </w:p>
    <w:p>
      <w:pPr>
        <w:spacing w:line="360" w:lineRule="auto" w:before="94"/>
        <w:ind w:left="840" w:right="1155" w:firstLine="0"/>
        <w:jc w:val="both"/>
        <w:rPr>
          <w:i/>
          <w:sz w:val="20"/>
        </w:rPr>
      </w:pPr>
      <w:r>
        <w:rPr>
          <w:i/>
          <w:sz w:val="20"/>
        </w:rPr>
        <w:t>Subject to Section 4.2, from and after the Escrow Release Date, the Investor will be entitled to </w:t>
      </w:r>
      <w:r>
        <w:rPr>
          <w:i/>
          <w:sz w:val="20"/>
        </w:rPr>
        <w:t>designate</w:t>
      </w:r>
      <w:r>
        <w:rPr>
          <w:i/>
          <w:spacing w:val="-5"/>
          <w:sz w:val="20"/>
        </w:rPr>
        <w:t> </w:t>
      </w:r>
      <w:r>
        <w:rPr>
          <w:i/>
          <w:sz w:val="20"/>
        </w:rPr>
        <w:t>that</w:t>
      </w:r>
      <w:r>
        <w:rPr>
          <w:i/>
          <w:spacing w:val="-5"/>
          <w:sz w:val="20"/>
        </w:rPr>
        <w:t> </w:t>
      </w:r>
      <w:r>
        <w:rPr>
          <w:i/>
          <w:sz w:val="20"/>
        </w:rPr>
        <w:t>number</w:t>
      </w:r>
      <w:r>
        <w:rPr>
          <w:i/>
          <w:spacing w:val="-4"/>
          <w:sz w:val="20"/>
        </w:rPr>
        <w:t> </w:t>
      </w:r>
      <w:r>
        <w:rPr>
          <w:i/>
          <w:sz w:val="20"/>
        </w:rPr>
        <w:t>of</w:t>
      </w:r>
      <w:r>
        <w:rPr>
          <w:i/>
          <w:spacing w:val="-6"/>
          <w:sz w:val="20"/>
        </w:rPr>
        <w:t> </w:t>
      </w:r>
      <w:r>
        <w:rPr>
          <w:i/>
          <w:sz w:val="20"/>
        </w:rPr>
        <w:t>nominees</w:t>
      </w:r>
      <w:r>
        <w:rPr>
          <w:i/>
          <w:spacing w:val="-4"/>
          <w:sz w:val="20"/>
        </w:rPr>
        <w:t> </w:t>
      </w:r>
      <w:r>
        <w:rPr>
          <w:i/>
          <w:sz w:val="20"/>
        </w:rPr>
        <w:t>for</w:t>
      </w:r>
      <w:r>
        <w:rPr>
          <w:i/>
          <w:spacing w:val="-4"/>
          <w:sz w:val="20"/>
        </w:rPr>
        <w:t> </w:t>
      </w:r>
      <w:r>
        <w:rPr>
          <w:i/>
          <w:sz w:val="20"/>
        </w:rPr>
        <w:t>election</w:t>
      </w:r>
      <w:r>
        <w:rPr>
          <w:i/>
          <w:spacing w:val="-5"/>
          <w:sz w:val="20"/>
        </w:rPr>
        <w:t> </w:t>
      </w:r>
      <w:r>
        <w:rPr>
          <w:i/>
          <w:sz w:val="20"/>
        </w:rPr>
        <w:t>or</w:t>
      </w:r>
      <w:r>
        <w:rPr>
          <w:i/>
          <w:spacing w:val="-4"/>
          <w:sz w:val="20"/>
        </w:rPr>
        <w:t> </w:t>
      </w:r>
      <w:r>
        <w:rPr>
          <w:i/>
          <w:sz w:val="20"/>
        </w:rPr>
        <w:t>appointment</w:t>
      </w:r>
      <w:r>
        <w:rPr>
          <w:i/>
          <w:spacing w:val="-5"/>
          <w:sz w:val="20"/>
        </w:rPr>
        <w:t> </w:t>
      </w:r>
      <w:r>
        <w:rPr>
          <w:i/>
          <w:sz w:val="20"/>
        </w:rPr>
        <w:t>to</w:t>
      </w:r>
      <w:r>
        <w:rPr>
          <w:i/>
          <w:spacing w:val="-4"/>
          <w:sz w:val="20"/>
        </w:rPr>
        <w:t> </w:t>
      </w:r>
      <w:r>
        <w:rPr>
          <w:i/>
          <w:sz w:val="20"/>
        </w:rPr>
        <w:t>the</w:t>
      </w:r>
      <w:r>
        <w:rPr>
          <w:i/>
          <w:spacing w:val="-5"/>
          <w:sz w:val="20"/>
        </w:rPr>
        <w:t> </w:t>
      </w:r>
      <w:r>
        <w:rPr>
          <w:i/>
          <w:sz w:val="20"/>
        </w:rPr>
        <w:t>Board</w:t>
      </w:r>
      <w:r>
        <w:rPr>
          <w:i/>
          <w:spacing w:val="-4"/>
          <w:sz w:val="20"/>
        </w:rPr>
        <w:t> </w:t>
      </w:r>
      <w:r>
        <w:rPr>
          <w:i/>
          <w:sz w:val="20"/>
        </w:rPr>
        <w:t>of</w:t>
      </w:r>
      <w:r>
        <w:rPr>
          <w:i/>
          <w:spacing w:val="-5"/>
          <w:sz w:val="20"/>
        </w:rPr>
        <w:t> </w:t>
      </w:r>
      <w:r>
        <w:rPr>
          <w:i/>
          <w:sz w:val="20"/>
        </w:rPr>
        <w:t>Directors</w:t>
      </w:r>
      <w:r>
        <w:rPr>
          <w:i/>
          <w:spacing w:val="-5"/>
          <w:sz w:val="20"/>
        </w:rPr>
        <w:t> </w:t>
      </w:r>
      <w:r>
        <w:rPr>
          <w:i/>
          <w:sz w:val="20"/>
        </w:rPr>
        <w:t>from</w:t>
      </w:r>
      <w:r>
        <w:rPr>
          <w:i/>
          <w:spacing w:val="-4"/>
          <w:sz w:val="20"/>
        </w:rPr>
        <w:t> </w:t>
      </w:r>
      <w:r>
        <w:rPr>
          <w:i/>
          <w:sz w:val="20"/>
        </w:rPr>
        <w:t>time to time (the "Investor Nominees") that is equal to the Investor Rights Adjusted Ownership Percentage multiplied by the number of directors of the Company (including the Investor Nominees), rounded down to a whole number, but provided that there is at least one Investor Nominee.”</w:t>
      </w:r>
    </w:p>
    <w:p>
      <w:pPr>
        <w:pStyle w:val="BodyText"/>
        <w:spacing w:before="11"/>
        <w:rPr>
          <w:i/>
        </w:rPr>
      </w:pPr>
    </w:p>
    <w:p>
      <w:pPr>
        <w:pStyle w:val="ListParagraph"/>
        <w:numPr>
          <w:ilvl w:val="0"/>
          <w:numId w:val="1"/>
        </w:numPr>
        <w:tabs>
          <w:tab w:pos="840" w:val="left" w:leader="none"/>
          <w:tab w:pos="841" w:val="left" w:leader="none"/>
        </w:tabs>
        <w:spacing w:line="240" w:lineRule="auto" w:before="0" w:after="0"/>
        <w:ind w:left="840" w:right="0" w:hanging="721"/>
        <w:jc w:val="left"/>
        <w:rPr>
          <w:sz w:val="20"/>
        </w:rPr>
      </w:pPr>
      <w:bookmarkStart w:name="22. In my experience:" w:id="45"/>
      <w:bookmarkEnd w:id="45"/>
      <w:r>
        <w:rPr/>
      </w:r>
      <w:bookmarkStart w:name="22. In my experience:" w:id="46"/>
      <w:bookmarkEnd w:id="46"/>
      <w:r>
        <w:rPr>
          <w:sz w:val="20"/>
        </w:rPr>
        <w:t>I</w:t>
      </w:r>
      <w:r>
        <w:rPr>
          <w:sz w:val="20"/>
        </w:rPr>
        <w:t>n my</w:t>
      </w:r>
      <w:r>
        <w:rPr>
          <w:spacing w:val="-2"/>
          <w:sz w:val="20"/>
        </w:rPr>
        <w:t> </w:t>
      </w:r>
      <w:r>
        <w:rPr>
          <w:sz w:val="20"/>
        </w:rPr>
        <w:t>experience:</w:t>
      </w:r>
    </w:p>
    <w:p>
      <w:pPr>
        <w:pStyle w:val="BodyText"/>
        <w:spacing w:before="10"/>
        <w:rPr>
          <w:sz w:val="30"/>
        </w:rPr>
      </w:pPr>
    </w:p>
    <w:p>
      <w:pPr>
        <w:pStyle w:val="ListParagraph"/>
        <w:numPr>
          <w:ilvl w:val="1"/>
          <w:numId w:val="1"/>
        </w:numPr>
        <w:tabs>
          <w:tab w:pos="1560" w:val="left" w:leader="none"/>
          <w:tab w:pos="1561" w:val="left" w:leader="none"/>
        </w:tabs>
        <w:spacing w:line="350" w:lineRule="auto" w:before="0" w:after="0"/>
        <w:ind w:left="1560" w:right="1156" w:hanging="721"/>
        <w:jc w:val="left"/>
        <w:rPr>
          <w:rFonts w:ascii="Symbol" w:hAnsi="Symbol"/>
          <w:sz w:val="20"/>
        </w:rPr>
      </w:pPr>
      <w:bookmarkStart w:name=" director nomination rights are a commo" w:id="47"/>
      <w:bookmarkEnd w:id="47"/>
      <w:r>
        <w:rPr/>
      </w:r>
      <w:bookmarkStart w:name=" director nomination rights are a commo" w:id="48"/>
      <w:bookmarkEnd w:id="48"/>
      <w:r>
        <w:rPr>
          <w:sz w:val="20"/>
        </w:rPr>
        <w:t>d</w:t>
      </w:r>
      <w:r>
        <w:rPr>
          <w:sz w:val="20"/>
        </w:rPr>
        <w:t>irector nomination rights are a common provision in investment agreements between major shareholders and Canadian public companies;</w:t>
      </w:r>
      <w:r>
        <w:rPr>
          <w:spacing w:val="-9"/>
          <w:sz w:val="20"/>
        </w:rPr>
        <w:t> </w:t>
      </w:r>
      <w:r>
        <w:rPr>
          <w:sz w:val="20"/>
        </w:rPr>
        <w:t>and</w:t>
      </w:r>
    </w:p>
    <w:p>
      <w:pPr>
        <w:pStyle w:val="BodyText"/>
        <w:spacing w:before="9"/>
        <w:rPr>
          <w:sz w:val="21"/>
        </w:rPr>
      </w:pPr>
    </w:p>
    <w:p>
      <w:pPr>
        <w:pStyle w:val="ListParagraph"/>
        <w:numPr>
          <w:ilvl w:val="1"/>
          <w:numId w:val="1"/>
        </w:numPr>
        <w:tabs>
          <w:tab w:pos="1560" w:val="left" w:leader="none"/>
          <w:tab w:pos="1561" w:val="left" w:leader="none"/>
        </w:tabs>
        <w:spacing w:line="240" w:lineRule="auto" w:before="1" w:after="0"/>
        <w:ind w:left="1560" w:right="0" w:hanging="721"/>
        <w:jc w:val="left"/>
        <w:rPr>
          <w:rFonts w:ascii="Symbol" w:hAnsi="Symbol"/>
          <w:sz w:val="20"/>
        </w:rPr>
      </w:pPr>
      <w:r>
        <w:rPr>
          <w:sz w:val="20"/>
        </w:rPr>
        <w:t>such rights are generally honored, complied with, and not abused or</w:t>
      </w:r>
      <w:r>
        <w:rPr>
          <w:spacing w:val="-16"/>
          <w:sz w:val="20"/>
        </w:rPr>
        <w:t> </w:t>
      </w:r>
      <w:r>
        <w:rPr>
          <w:sz w:val="20"/>
        </w:rPr>
        <w:t>breached.</w:t>
      </w:r>
    </w:p>
    <w:p>
      <w:pPr>
        <w:pStyle w:val="BodyText"/>
        <w:spacing w:before="7"/>
      </w:pPr>
    </w:p>
    <w:p>
      <w:pPr>
        <w:pStyle w:val="ListParagraph"/>
        <w:numPr>
          <w:ilvl w:val="0"/>
          <w:numId w:val="1"/>
        </w:numPr>
        <w:tabs>
          <w:tab w:pos="840" w:val="left" w:leader="none"/>
          <w:tab w:pos="841" w:val="left" w:leader="none"/>
        </w:tabs>
        <w:spacing w:line="240" w:lineRule="auto" w:before="0" w:after="0"/>
        <w:ind w:left="840" w:right="0" w:hanging="721"/>
        <w:jc w:val="left"/>
        <w:rPr>
          <w:sz w:val="20"/>
        </w:rPr>
      </w:pPr>
      <w:bookmarkStart w:name="23. My interpretation of Section 4.1 of " w:id="49"/>
      <w:bookmarkEnd w:id="49"/>
      <w:r>
        <w:rPr/>
      </w:r>
      <w:bookmarkStart w:name="23. My interpretation of Section 4.1 of " w:id="50"/>
      <w:bookmarkEnd w:id="50"/>
      <w:r>
        <w:rPr>
          <w:sz w:val="20"/>
        </w:rPr>
        <w:t>M</w:t>
      </w:r>
      <w:r>
        <w:rPr>
          <w:sz w:val="20"/>
        </w:rPr>
        <w:t>y interpretation of Section 4.1 of the Subscription Agreement is</w:t>
      </w:r>
      <w:r>
        <w:rPr>
          <w:spacing w:val="-14"/>
          <w:sz w:val="20"/>
        </w:rPr>
        <w:t> </w:t>
      </w:r>
      <w:r>
        <w:rPr>
          <w:sz w:val="20"/>
        </w:rPr>
        <w:t>that:</w:t>
      </w:r>
    </w:p>
    <w:p>
      <w:pPr>
        <w:pStyle w:val="BodyText"/>
        <w:spacing w:before="10"/>
        <w:rPr>
          <w:sz w:val="30"/>
        </w:rPr>
      </w:pPr>
    </w:p>
    <w:p>
      <w:pPr>
        <w:pStyle w:val="ListParagraph"/>
        <w:numPr>
          <w:ilvl w:val="1"/>
          <w:numId w:val="1"/>
        </w:numPr>
        <w:tabs>
          <w:tab w:pos="1560" w:val="left" w:leader="none"/>
          <w:tab w:pos="1561" w:val="left" w:leader="none"/>
        </w:tabs>
        <w:spacing w:line="350" w:lineRule="auto" w:before="1" w:after="0"/>
        <w:ind w:left="1560" w:right="1157" w:hanging="720"/>
        <w:jc w:val="left"/>
        <w:rPr>
          <w:rFonts w:ascii="Symbol" w:hAnsi="Symbol"/>
          <w:sz w:val="20"/>
        </w:rPr>
      </w:pPr>
      <w:bookmarkStart w:name=" it provides GSFC with the contractual " w:id="51"/>
      <w:bookmarkEnd w:id="51"/>
      <w:r>
        <w:rPr/>
      </w:r>
      <w:bookmarkStart w:name=" it provides GSFC with the contractual " w:id="52"/>
      <w:bookmarkEnd w:id="52"/>
      <w:r>
        <w:rPr>
          <w:sz w:val="20"/>
        </w:rPr>
        <w:t>i</w:t>
      </w:r>
      <w:r>
        <w:rPr>
          <w:sz w:val="20"/>
        </w:rPr>
        <w:t>t provides GSFC with the contractual right (the “</w:t>
      </w:r>
      <w:r>
        <w:rPr>
          <w:b/>
          <w:sz w:val="20"/>
        </w:rPr>
        <w:t>GSFC Nomination Right</w:t>
      </w:r>
      <w:r>
        <w:rPr>
          <w:sz w:val="20"/>
        </w:rPr>
        <w:t>”) to nominate candidate(s) (a “</w:t>
      </w:r>
      <w:r>
        <w:rPr>
          <w:b/>
          <w:sz w:val="20"/>
        </w:rPr>
        <w:t>GSFC Nominee</w:t>
      </w:r>
      <w:r>
        <w:rPr>
          <w:sz w:val="20"/>
        </w:rPr>
        <w:t>”) to the KRN Board in proportion to its</w:t>
      </w:r>
      <w:r>
        <w:rPr>
          <w:spacing w:val="-29"/>
          <w:sz w:val="20"/>
        </w:rPr>
        <w:t> </w:t>
      </w:r>
      <w:r>
        <w:rPr>
          <w:sz w:val="20"/>
        </w:rPr>
        <w:t>shareholdings;</w:t>
      </w:r>
    </w:p>
    <w:p>
      <w:pPr>
        <w:pStyle w:val="BodyText"/>
        <w:spacing w:before="8"/>
        <w:rPr>
          <w:sz w:val="21"/>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r>
        <w:rPr>
          <w:sz w:val="20"/>
        </w:rPr>
        <w:t>as a 21.5% shareholder of GSFC, gives GSFC the right to</w:t>
      </w:r>
      <w:r>
        <w:rPr>
          <w:spacing w:val="-13"/>
          <w:sz w:val="20"/>
        </w:rPr>
        <w:t> </w:t>
      </w:r>
      <w:r>
        <w:rPr>
          <w:sz w:val="20"/>
        </w:rPr>
        <w:t>nominate:</w:t>
      </w:r>
    </w:p>
    <w:p>
      <w:pPr>
        <w:pStyle w:val="BodyText"/>
        <w:spacing w:before="9"/>
        <w:rPr>
          <w:sz w:val="23"/>
        </w:rPr>
      </w:pPr>
    </w:p>
    <w:p>
      <w:pPr>
        <w:pStyle w:val="ListParagraph"/>
        <w:numPr>
          <w:ilvl w:val="2"/>
          <w:numId w:val="1"/>
        </w:numPr>
        <w:tabs>
          <w:tab w:pos="2279" w:val="left" w:leader="none"/>
          <w:tab w:pos="2280" w:val="left" w:leader="none"/>
        </w:tabs>
        <w:spacing w:line="352" w:lineRule="auto" w:before="0" w:after="0"/>
        <w:ind w:left="2279" w:right="1157" w:hanging="721"/>
        <w:jc w:val="left"/>
        <w:rPr>
          <w:sz w:val="20"/>
        </w:rPr>
      </w:pPr>
      <w:r>
        <w:rPr>
          <w:sz w:val="20"/>
        </w:rPr>
        <w:t>21.5% of the members of the KRN Board, rounded down the nearest whole number;</w:t>
      </w:r>
    </w:p>
    <w:p>
      <w:pPr>
        <w:pStyle w:val="ListParagraph"/>
        <w:numPr>
          <w:ilvl w:val="2"/>
          <w:numId w:val="1"/>
        </w:numPr>
        <w:tabs>
          <w:tab w:pos="2279" w:val="left" w:leader="none"/>
          <w:tab w:pos="2280" w:val="left" w:leader="none"/>
        </w:tabs>
        <w:spacing w:line="240" w:lineRule="auto" w:before="166" w:after="0"/>
        <w:ind w:left="2279" w:right="0" w:hanging="721"/>
        <w:jc w:val="left"/>
        <w:rPr>
          <w:sz w:val="20"/>
        </w:rPr>
      </w:pPr>
      <w:r>
        <w:rPr>
          <w:sz w:val="20"/>
        </w:rPr>
        <w:t>one (1) director to a KRN Board consisting of six (6) directors;</w:t>
      </w:r>
      <w:r>
        <w:rPr>
          <w:spacing w:val="-16"/>
          <w:sz w:val="20"/>
        </w:rPr>
        <w:t> </w:t>
      </w:r>
      <w:r>
        <w:rPr>
          <w:sz w:val="20"/>
        </w:rPr>
        <w:t>and</w:t>
      </w:r>
    </w:p>
    <w:p>
      <w:pPr>
        <w:pStyle w:val="BodyText"/>
        <w:spacing w:before="9"/>
        <w:rPr>
          <w:sz w:val="23"/>
        </w:rPr>
      </w:pPr>
    </w:p>
    <w:p>
      <w:pPr>
        <w:pStyle w:val="ListParagraph"/>
        <w:numPr>
          <w:ilvl w:val="2"/>
          <w:numId w:val="1"/>
        </w:numPr>
        <w:tabs>
          <w:tab w:pos="2279" w:val="left" w:leader="none"/>
          <w:tab w:pos="2280" w:val="left" w:leader="none"/>
        </w:tabs>
        <w:spacing w:line="240" w:lineRule="auto" w:before="0" w:after="0"/>
        <w:ind w:left="2279" w:right="0" w:hanging="721"/>
        <w:jc w:val="left"/>
        <w:rPr>
          <w:sz w:val="20"/>
        </w:rPr>
      </w:pPr>
      <w:r>
        <w:rPr>
          <w:sz w:val="20"/>
        </w:rPr>
        <w:t>one (1) director to a KRN Board consisting of three (3)</w:t>
      </w:r>
      <w:r>
        <w:rPr>
          <w:spacing w:val="-14"/>
          <w:sz w:val="20"/>
        </w:rPr>
        <w:t> </w:t>
      </w:r>
      <w:r>
        <w:rPr>
          <w:sz w:val="20"/>
        </w:rPr>
        <w:t>directors.</w:t>
      </w:r>
    </w:p>
    <w:p>
      <w:pPr>
        <w:pStyle w:val="BodyText"/>
        <w:spacing w:before="7"/>
        <w:rPr>
          <w:sz w:val="30"/>
        </w:rPr>
      </w:pPr>
    </w:p>
    <w:p>
      <w:pPr>
        <w:pStyle w:val="ListParagraph"/>
        <w:numPr>
          <w:ilvl w:val="1"/>
          <w:numId w:val="1"/>
        </w:numPr>
        <w:tabs>
          <w:tab w:pos="1559" w:val="left" w:leader="none"/>
          <w:tab w:pos="1561" w:val="left" w:leader="none"/>
        </w:tabs>
        <w:spacing w:line="240" w:lineRule="auto" w:before="0" w:after="0"/>
        <w:ind w:left="1560" w:right="0" w:hanging="721"/>
        <w:jc w:val="left"/>
        <w:rPr>
          <w:rFonts w:ascii="Symbol" w:hAnsi="Symbol"/>
          <w:sz w:val="20"/>
        </w:rPr>
      </w:pPr>
      <w:r>
        <w:rPr>
          <w:sz w:val="20"/>
        </w:rPr>
        <w:t>as a 38.73% shareholder of KRN, gives GSFC the right to</w:t>
      </w:r>
      <w:r>
        <w:rPr>
          <w:spacing w:val="-12"/>
          <w:sz w:val="20"/>
        </w:rPr>
        <w:t> </w:t>
      </w:r>
      <w:r>
        <w:rPr>
          <w:sz w:val="20"/>
        </w:rPr>
        <w:t>nominate:</w:t>
      </w:r>
    </w:p>
    <w:p>
      <w:pPr>
        <w:pStyle w:val="BodyText"/>
        <w:spacing w:before="10"/>
        <w:rPr>
          <w:sz w:val="23"/>
        </w:rPr>
      </w:pPr>
    </w:p>
    <w:p>
      <w:pPr>
        <w:pStyle w:val="ListParagraph"/>
        <w:numPr>
          <w:ilvl w:val="2"/>
          <w:numId w:val="1"/>
        </w:numPr>
        <w:tabs>
          <w:tab w:pos="2279" w:val="left" w:leader="none"/>
          <w:tab w:pos="2280" w:val="left" w:leader="none"/>
        </w:tabs>
        <w:spacing w:line="350" w:lineRule="auto" w:before="0" w:after="0"/>
        <w:ind w:left="2279" w:right="1159" w:hanging="721"/>
        <w:jc w:val="left"/>
        <w:rPr>
          <w:sz w:val="20"/>
        </w:rPr>
      </w:pPr>
      <w:r>
        <w:rPr>
          <w:sz w:val="20"/>
        </w:rPr>
        <w:t>38.73% of the members of the KRN Board, rounded down the nearest whole number;</w:t>
      </w:r>
    </w:p>
    <w:p>
      <w:pPr>
        <w:pStyle w:val="ListParagraph"/>
        <w:numPr>
          <w:ilvl w:val="2"/>
          <w:numId w:val="1"/>
        </w:numPr>
        <w:tabs>
          <w:tab w:pos="2279" w:val="left" w:leader="none"/>
          <w:tab w:pos="2280" w:val="left" w:leader="none"/>
        </w:tabs>
        <w:spacing w:line="240" w:lineRule="auto" w:before="170" w:after="0"/>
        <w:ind w:left="2279" w:right="0" w:hanging="721"/>
        <w:jc w:val="left"/>
        <w:rPr>
          <w:sz w:val="20"/>
        </w:rPr>
      </w:pPr>
      <w:r>
        <w:rPr>
          <w:sz w:val="20"/>
        </w:rPr>
        <w:t>two (2) directors to a KRN Board consisting of six (6) directors;</w:t>
      </w:r>
      <w:r>
        <w:rPr>
          <w:spacing w:val="-16"/>
          <w:sz w:val="20"/>
        </w:rPr>
        <w:t> </w:t>
      </w:r>
      <w:r>
        <w:rPr>
          <w:sz w:val="20"/>
        </w:rPr>
        <w:t>and</w:t>
      </w:r>
    </w:p>
    <w:p>
      <w:pPr>
        <w:pStyle w:val="BodyText"/>
        <w:spacing w:before="9"/>
        <w:rPr>
          <w:sz w:val="23"/>
        </w:rPr>
      </w:pPr>
    </w:p>
    <w:p>
      <w:pPr>
        <w:pStyle w:val="ListParagraph"/>
        <w:numPr>
          <w:ilvl w:val="2"/>
          <w:numId w:val="1"/>
        </w:numPr>
        <w:tabs>
          <w:tab w:pos="2279" w:val="left" w:leader="none"/>
          <w:tab w:pos="2280" w:val="left" w:leader="none"/>
        </w:tabs>
        <w:spacing w:line="240" w:lineRule="auto" w:before="0" w:after="0"/>
        <w:ind w:left="2279" w:right="0" w:hanging="721"/>
        <w:jc w:val="left"/>
        <w:rPr>
          <w:sz w:val="20"/>
        </w:rPr>
      </w:pPr>
      <w:r>
        <w:rPr>
          <w:sz w:val="20"/>
        </w:rPr>
        <w:t>one (1) director to a KRN Board consisting of three (3)</w:t>
      </w:r>
      <w:r>
        <w:rPr>
          <w:spacing w:val="-13"/>
          <w:sz w:val="20"/>
        </w:rPr>
        <w:t> </w:t>
      </w:r>
      <w:r>
        <w:rPr>
          <w:sz w:val="20"/>
        </w:rPr>
        <w:t>directors.</w:t>
      </w:r>
    </w:p>
    <w:p>
      <w:pPr>
        <w:spacing w:after="0" w:line="240" w:lineRule="auto"/>
        <w:jc w:val="left"/>
        <w:rPr>
          <w:sz w:val="20"/>
        </w:rPr>
        <w:sectPr>
          <w:pgSz w:w="12240" w:h="15840"/>
          <w:pgMar w:header="0" w:footer="1259" w:top="1220" w:bottom="1440" w:left="1320" w:right="280"/>
        </w:sectPr>
      </w:pPr>
    </w:p>
    <w:p>
      <w:pPr>
        <w:pStyle w:val="ListParagraph"/>
        <w:numPr>
          <w:ilvl w:val="0"/>
          <w:numId w:val="1"/>
        </w:numPr>
        <w:tabs>
          <w:tab w:pos="839" w:val="left" w:leader="none"/>
          <w:tab w:pos="841" w:val="left" w:leader="none"/>
        </w:tabs>
        <w:spacing w:line="240" w:lineRule="auto" w:before="75" w:after="0"/>
        <w:ind w:left="840" w:right="0" w:hanging="721"/>
        <w:jc w:val="left"/>
        <w:rPr>
          <w:sz w:val="20"/>
        </w:rPr>
      </w:pPr>
      <w:r>
        <w:rPr/>
        <w:drawing>
          <wp:anchor distT="0" distB="0" distL="0" distR="0" allowOverlap="1" layoutInCell="1" locked="0" behindDoc="0" simplePos="0" relativeHeight="251672576">
            <wp:simplePos x="0" y="0"/>
            <wp:positionH relativeFrom="page">
              <wp:posOffset>6864642</wp:posOffset>
            </wp:positionH>
            <wp:positionV relativeFrom="page">
              <wp:posOffset>9341902</wp:posOffset>
            </wp:positionV>
            <wp:extent cx="547560" cy="555707"/>
            <wp:effectExtent l="0" t="0" r="0" b="0"/>
            <wp:wrapNone/>
            <wp:docPr id="13" name="image4.png"/>
            <wp:cNvGraphicFramePr>
              <a:graphicFrameLocks noChangeAspect="1"/>
            </wp:cNvGraphicFramePr>
            <a:graphic>
              <a:graphicData uri="http://schemas.openxmlformats.org/drawingml/2006/picture">
                <pic:pic>
                  <pic:nvPicPr>
                    <pic:cNvPr id="14" name="image4.png"/>
                    <pic:cNvPicPr/>
                  </pic:nvPicPr>
                  <pic:blipFill>
                    <a:blip r:embed="rId9" cstate="print"/>
                    <a:stretch>
                      <a:fillRect/>
                    </a:stretch>
                  </pic:blipFill>
                  <pic:spPr>
                    <a:xfrm>
                      <a:off x="0" y="0"/>
                      <a:ext cx="547560" cy="555707"/>
                    </a:xfrm>
                    <a:prstGeom prst="rect">
                      <a:avLst/>
                    </a:prstGeom>
                  </pic:spPr>
                </pic:pic>
              </a:graphicData>
            </a:graphic>
          </wp:anchor>
        </w:drawing>
      </w:r>
      <w:r>
        <w:rPr/>
        <w:drawing>
          <wp:anchor distT="0" distB="0" distL="0" distR="0" allowOverlap="1" layoutInCell="1" locked="0" behindDoc="0" simplePos="0" relativeHeight="251673600">
            <wp:simplePos x="0" y="0"/>
            <wp:positionH relativeFrom="page">
              <wp:posOffset>5874778</wp:posOffset>
            </wp:positionH>
            <wp:positionV relativeFrom="page">
              <wp:posOffset>9289328</wp:posOffset>
            </wp:positionV>
            <wp:extent cx="876722" cy="555707"/>
            <wp:effectExtent l="0" t="0" r="0" b="0"/>
            <wp:wrapNone/>
            <wp:docPr id="15" name="image5.png"/>
            <wp:cNvGraphicFramePr>
              <a:graphicFrameLocks noChangeAspect="1"/>
            </wp:cNvGraphicFramePr>
            <a:graphic>
              <a:graphicData uri="http://schemas.openxmlformats.org/drawingml/2006/picture">
                <pic:pic>
                  <pic:nvPicPr>
                    <pic:cNvPr id="16" name="image5.png"/>
                    <pic:cNvPicPr/>
                  </pic:nvPicPr>
                  <pic:blipFill>
                    <a:blip r:embed="rId10" cstate="print"/>
                    <a:stretch>
                      <a:fillRect/>
                    </a:stretch>
                  </pic:blipFill>
                  <pic:spPr>
                    <a:xfrm>
                      <a:off x="0" y="0"/>
                      <a:ext cx="876722" cy="555707"/>
                    </a:xfrm>
                    <a:prstGeom prst="rect">
                      <a:avLst/>
                    </a:prstGeom>
                  </pic:spPr>
                </pic:pic>
              </a:graphicData>
            </a:graphic>
          </wp:anchor>
        </w:drawing>
      </w:r>
      <w:r>
        <w:rPr>
          <w:sz w:val="20"/>
        </w:rPr>
        <w:t>My interpretation of the GSFC Nomination Right is that</w:t>
      </w:r>
      <w:r>
        <w:rPr>
          <w:spacing w:val="-11"/>
          <w:sz w:val="20"/>
        </w:rPr>
        <w:t> </w:t>
      </w:r>
      <w:r>
        <w:rPr>
          <w:sz w:val="20"/>
        </w:rPr>
        <w:t>it:</w:t>
      </w:r>
    </w:p>
    <w:p>
      <w:pPr>
        <w:pStyle w:val="BodyText"/>
        <w:spacing w:before="10"/>
        <w:rPr>
          <w:sz w:val="30"/>
        </w:rPr>
      </w:pPr>
    </w:p>
    <w:p>
      <w:pPr>
        <w:pStyle w:val="ListParagraph"/>
        <w:numPr>
          <w:ilvl w:val="1"/>
          <w:numId w:val="1"/>
        </w:numPr>
        <w:tabs>
          <w:tab w:pos="1559" w:val="left" w:leader="none"/>
          <w:tab w:pos="1561" w:val="left" w:leader="none"/>
        </w:tabs>
        <w:spacing w:line="350" w:lineRule="auto" w:before="1" w:after="0"/>
        <w:ind w:left="1560" w:right="1156" w:hanging="721"/>
        <w:jc w:val="left"/>
        <w:rPr>
          <w:rFonts w:ascii="Symbol" w:hAnsi="Symbol"/>
          <w:sz w:val="20"/>
        </w:rPr>
      </w:pPr>
      <w:r>
        <w:rPr>
          <w:sz w:val="20"/>
        </w:rPr>
        <w:t>does not give GSFC the right to nominate a minimum number of GSFC Nominees, irrespective of the size of the KRN</w:t>
      </w:r>
      <w:r>
        <w:rPr>
          <w:spacing w:val="-7"/>
          <w:sz w:val="20"/>
        </w:rPr>
        <w:t> </w:t>
      </w:r>
      <w:r>
        <w:rPr>
          <w:sz w:val="20"/>
        </w:rPr>
        <w:t>Board;</w:t>
      </w:r>
    </w:p>
    <w:p>
      <w:pPr>
        <w:pStyle w:val="BodyText"/>
        <w:spacing w:before="9"/>
        <w:rPr>
          <w:sz w:val="21"/>
        </w:rPr>
      </w:pPr>
    </w:p>
    <w:p>
      <w:pPr>
        <w:pStyle w:val="ListParagraph"/>
        <w:numPr>
          <w:ilvl w:val="1"/>
          <w:numId w:val="1"/>
        </w:numPr>
        <w:tabs>
          <w:tab w:pos="1559" w:val="left" w:leader="none"/>
          <w:tab w:pos="1561" w:val="left" w:leader="none"/>
        </w:tabs>
        <w:spacing w:line="350" w:lineRule="auto" w:before="0" w:after="0"/>
        <w:ind w:left="1560" w:right="1157" w:hanging="721"/>
        <w:jc w:val="left"/>
        <w:rPr>
          <w:rFonts w:ascii="Symbol" w:hAnsi="Symbol"/>
          <w:sz w:val="20"/>
        </w:rPr>
      </w:pPr>
      <w:r>
        <w:rPr>
          <w:sz w:val="20"/>
        </w:rPr>
        <w:t>does not give GSFC the right to nominate a number of GSFC Nominees in excess of its entitlement;</w:t>
      </w:r>
      <w:r>
        <w:rPr>
          <w:spacing w:val="-2"/>
          <w:sz w:val="20"/>
        </w:rPr>
        <w:t> </w:t>
      </w:r>
      <w:r>
        <w:rPr>
          <w:sz w:val="20"/>
        </w:rPr>
        <w:t>and</w:t>
      </w:r>
    </w:p>
    <w:p>
      <w:pPr>
        <w:pStyle w:val="BodyText"/>
        <w:spacing w:before="8"/>
        <w:rPr>
          <w:sz w:val="21"/>
        </w:rPr>
      </w:pPr>
    </w:p>
    <w:p>
      <w:pPr>
        <w:pStyle w:val="ListParagraph"/>
        <w:numPr>
          <w:ilvl w:val="1"/>
          <w:numId w:val="1"/>
        </w:numPr>
        <w:tabs>
          <w:tab w:pos="1559" w:val="left" w:leader="none"/>
          <w:tab w:pos="1561" w:val="left" w:leader="none"/>
        </w:tabs>
        <w:spacing w:line="350" w:lineRule="auto" w:before="0" w:after="0"/>
        <w:ind w:left="1560" w:right="1155" w:hanging="721"/>
        <w:jc w:val="left"/>
        <w:rPr>
          <w:rFonts w:ascii="Symbol" w:hAnsi="Symbol"/>
          <w:sz w:val="20"/>
        </w:rPr>
      </w:pPr>
      <w:r>
        <w:rPr>
          <w:sz w:val="20"/>
        </w:rPr>
        <w:t>a nomination of a number of GSFC Nominees in excess of its entitlement is a breach of Section 4.1 of the Subscription</w:t>
      </w:r>
      <w:r>
        <w:rPr>
          <w:spacing w:val="-8"/>
          <w:sz w:val="20"/>
        </w:rPr>
        <w:t> </w:t>
      </w:r>
      <w:r>
        <w:rPr>
          <w:sz w:val="20"/>
        </w:rPr>
        <w:t>Agreement.</w:t>
      </w:r>
    </w:p>
    <w:p>
      <w:pPr>
        <w:pStyle w:val="BodyText"/>
        <w:spacing w:before="8"/>
        <w:rPr>
          <w:sz w:val="21"/>
        </w:rPr>
      </w:pPr>
    </w:p>
    <w:p>
      <w:pPr>
        <w:pStyle w:val="Heading1"/>
        <w:ind w:left="119" w:firstLine="0"/>
      </w:pPr>
      <w:bookmarkStart w:name="Independence of GSFC Nominees on the KRN" w:id="53"/>
      <w:bookmarkEnd w:id="53"/>
      <w:r>
        <w:rPr>
          <w:b w:val="0"/>
        </w:rPr>
      </w:r>
      <w:r>
        <w:rPr/>
        <w:t>Independence of GSFC Nominees on the KRN Board</w:t>
      </w:r>
    </w:p>
    <w:p>
      <w:pPr>
        <w:pStyle w:val="BodyText"/>
        <w:spacing w:before="9"/>
        <w:rPr>
          <w:b/>
          <w:sz w:val="30"/>
        </w:rPr>
      </w:pPr>
    </w:p>
    <w:p>
      <w:pPr>
        <w:pStyle w:val="ListParagraph"/>
        <w:numPr>
          <w:ilvl w:val="0"/>
          <w:numId w:val="1"/>
        </w:numPr>
        <w:tabs>
          <w:tab w:pos="839" w:val="left" w:leader="none"/>
          <w:tab w:pos="841" w:val="left" w:leader="none"/>
        </w:tabs>
        <w:spacing w:line="360" w:lineRule="auto" w:before="0" w:after="0"/>
        <w:ind w:left="840" w:right="1158" w:hanging="721"/>
        <w:jc w:val="left"/>
        <w:rPr>
          <w:sz w:val="20"/>
        </w:rPr>
      </w:pPr>
      <w:bookmarkStart w:name="25. I verily believe that none of the GS" w:id="54"/>
      <w:bookmarkEnd w:id="54"/>
      <w:r>
        <w:rPr/>
      </w:r>
      <w:bookmarkStart w:name="25. I verily believe that none of the GS" w:id="55"/>
      <w:bookmarkEnd w:id="55"/>
      <w:r>
        <w:rPr>
          <w:sz w:val="20"/>
        </w:rPr>
        <w:t>I</w:t>
      </w:r>
      <w:r>
        <w:rPr>
          <w:sz w:val="20"/>
        </w:rPr>
        <w:t> verily believe that none of the GSFC Nominees are independent, either by definition, or by conduct.</w:t>
      </w:r>
    </w:p>
    <w:p>
      <w:pPr>
        <w:pStyle w:val="BodyText"/>
        <w:spacing w:before="10"/>
      </w:pPr>
    </w:p>
    <w:p>
      <w:pPr>
        <w:pStyle w:val="ListParagraph"/>
        <w:numPr>
          <w:ilvl w:val="0"/>
          <w:numId w:val="2"/>
        </w:numPr>
        <w:tabs>
          <w:tab w:pos="839" w:val="left" w:leader="none"/>
          <w:tab w:pos="841" w:val="left" w:leader="none"/>
        </w:tabs>
        <w:spacing w:line="240" w:lineRule="auto" w:before="0" w:after="0"/>
        <w:ind w:left="840" w:right="0" w:hanging="721"/>
        <w:jc w:val="left"/>
        <w:rPr>
          <w:sz w:val="20"/>
        </w:rPr>
      </w:pPr>
      <w:r>
        <w:rPr>
          <w:sz w:val="20"/>
          <w:u w:val="single"/>
        </w:rPr>
        <w:t>Independent by</w:t>
      </w:r>
      <w:r>
        <w:rPr>
          <w:spacing w:val="-3"/>
          <w:sz w:val="20"/>
          <w:u w:val="single"/>
        </w:rPr>
        <w:t> </w:t>
      </w:r>
      <w:r>
        <w:rPr>
          <w:sz w:val="20"/>
          <w:u w:val="single"/>
        </w:rPr>
        <w:t>Definition</w:t>
      </w:r>
    </w:p>
    <w:p>
      <w:pPr>
        <w:pStyle w:val="BodyText"/>
        <w:spacing w:before="9"/>
        <w:rPr>
          <w:sz w:val="22"/>
        </w:rPr>
      </w:pPr>
    </w:p>
    <w:p>
      <w:pPr>
        <w:pStyle w:val="ListParagraph"/>
        <w:numPr>
          <w:ilvl w:val="0"/>
          <w:numId w:val="1"/>
        </w:numPr>
        <w:tabs>
          <w:tab w:pos="841" w:val="left" w:leader="none"/>
        </w:tabs>
        <w:spacing w:line="360" w:lineRule="auto" w:before="94" w:after="0"/>
        <w:ind w:left="840" w:right="1156" w:hanging="721"/>
        <w:jc w:val="both"/>
        <w:rPr>
          <w:sz w:val="20"/>
        </w:rPr>
      </w:pPr>
      <w:bookmarkStart w:name="26. Nanavaty and Varma are employees of " w:id="56"/>
      <w:bookmarkEnd w:id="56"/>
      <w:r>
        <w:rPr/>
      </w:r>
      <w:bookmarkStart w:name="26. Nanavaty and Varma are employees of " w:id="57"/>
      <w:bookmarkEnd w:id="57"/>
      <w:r>
        <w:rPr>
          <w:sz w:val="20"/>
        </w:rPr>
        <w:t>Na</w:t>
      </w:r>
      <w:r>
        <w:rPr>
          <w:sz w:val="20"/>
        </w:rPr>
        <w:t>navaty</w:t>
      </w:r>
      <w:r>
        <w:rPr>
          <w:spacing w:val="-12"/>
          <w:sz w:val="20"/>
        </w:rPr>
        <w:t> </w:t>
      </w:r>
      <w:r>
        <w:rPr>
          <w:sz w:val="20"/>
        </w:rPr>
        <w:t>and</w:t>
      </w:r>
      <w:r>
        <w:rPr>
          <w:spacing w:val="-12"/>
          <w:sz w:val="20"/>
        </w:rPr>
        <w:t> </w:t>
      </w:r>
      <w:r>
        <w:rPr>
          <w:sz w:val="20"/>
        </w:rPr>
        <w:t>Varma</w:t>
      </w:r>
      <w:r>
        <w:rPr>
          <w:spacing w:val="-11"/>
          <w:sz w:val="20"/>
        </w:rPr>
        <w:t> </w:t>
      </w:r>
      <w:r>
        <w:rPr>
          <w:sz w:val="20"/>
        </w:rPr>
        <w:t>are</w:t>
      </w:r>
      <w:r>
        <w:rPr>
          <w:spacing w:val="-11"/>
          <w:sz w:val="20"/>
        </w:rPr>
        <w:t> </w:t>
      </w:r>
      <w:r>
        <w:rPr>
          <w:sz w:val="20"/>
        </w:rPr>
        <w:t>employees</w:t>
      </w:r>
      <w:r>
        <w:rPr>
          <w:spacing w:val="-11"/>
          <w:sz w:val="20"/>
        </w:rPr>
        <w:t> </w:t>
      </w:r>
      <w:r>
        <w:rPr>
          <w:sz w:val="20"/>
        </w:rPr>
        <w:t>of</w:t>
      </w:r>
      <w:r>
        <w:rPr>
          <w:spacing w:val="-13"/>
          <w:sz w:val="20"/>
        </w:rPr>
        <w:t> </w:t>
      </w:r>
      <w:r>
        <w:rPr>
          <w:sz w:val="20"/>
        </w:rPr>
        <w:t>GSFC.</w:t>
      </w:r>
      <w:r>
        <w:rPr>
          <w:spacing w:val="33"/>
          <w:sz w:val="20"/>
        </w:rPr>
        <w:t> </w:t>
      </w:r>
      <w:r>
        <w:rPr>
          <w:sz w:val="20"/>
        </w:rPr>
        <w:t>Anjaria</w:t>
      </w:r>
      <w:r>
        <w:rPr>
          <w:spacing w:val="-12"/>
          <w:sz w:val="20"/>
        </w:rPr>
        <w:t> </w:t>
      </w:r>
      <w:r>
        <w:rPr>
          <w:sz w:val="20"/>
        </w:rPr>
        <w:t>was</w:t>
      </w:r>
      <w:r>
        <w:rPr>
          <w:spacing w:val="-11"/>
          <w:sz w:val="20"/>
        </w:rPr>
        <w:t> </w:t>
      </w:r>
      <w:r>
        <w:rPr>
          <w:sz w:val="20"/>
        </w:rPr>
        <w:t>a</w:t>
      </w:r>
      <w:r>
        <w:rPr>
          <w:spacing w:val="-11"/>
          <w:sz w:val="20"/>
        </w:rPr>
        <w:t> </w:t>
      </w:r>
      <w:r>
        <w:rPr>
          <w:sz w:val="20"/>
        </w:rPr>
        <w:t>director</w:t>
      </w:r>
      <w:r>
        <w:rPr>
          <w:spacing w:val="-11"/>
          <w:sz w:val="20"/>
        </w:rPr>
        <w:t> </w:t>
      </w:r>
      <w:r>
        <w:rPr>
          <w:sz w:val="20"/>
        </w:rPr>
        <w:t>of</w:t>
      </w:r>
      <w:r>
        <w:rPr>
          <w:spacing w:val="-12"/>
          <w:sz w:val="20"/>
        </w:rPr>
        <w:t> </w:t>
      </w:r>
      <w:r>
        <w:rPr>
          <w:sz w:val="20"/>
        </w:rPr>
        <w:t>GSFC</w:t>
      </w:r>
      <w:r>
        <w:rPr>
          <w:spacing w:val="-12"/>
          <w:sz w:val="20"/>
        </w:rPr>
        <w:t> </w:t>
      </w:r>
      <w:r>
        <w:rPr>
          <w:sz w:val="20"/>
        </w:rPr>
        <w:t>for</w:t>
      </w:r>
      <w:r>
        <w:rPr>
          <w:spacing w:val="-11"/>
          <w:sz w:val="20"/>
        </w:rPr>
        <w:t> </w:t>
      </w:r>
      <w:r>
        <w:rPr>
          <w:sz w:val="20"/>
        </w:rPr>
        <w:t>at</w:t>
      </w:r>
      <w:r>
        <w:rPr>
          <w:spacing w:val="-12"/>
          <w:sz w:val="20"/>
        </w:rPr>
        <w:t> </w:t>
      </w:r>
      <w:r>
        <w:rPr>
          <w:sz w:val="20"/>
        </w:rPr>
        <w:t>least</w:t>
      </w:r>
      <w:r>
        <w:rPr>
          <w:spacing w:val="-12"/>
          <w:sz w:val="20"/>
        </w:rPr>
        <w:t> </w:t>
      </w:r>
      <w:r>
        <w:rPr>
          <w:sz w:val="20"/>
        </w:rPr>
        <w:t>10</w:t>
      </w:r>
      <w:r>
        <w:rPr>
          <w:spacing w:val="-12"/>
          <w:sz w:val="20"/>
        </w:rPr>
        <w:t> </w:t>
      </w:r>
      <w:r>
        <w:rPr>
          <w:sz w:val="20"/>
        </w:rPr>
        <w:t>years before he retired in September 2020. Attached and marked as </w:t>
      </w:r>
      <w:r>
        <w:rPr>
          <w:b/>
          <w:sz w:val="20"/>
        </w:rPr>
        <w:t>Exhibit “L” </w:t>
      </w:r>
      <w:r>
        <w:rPr>
          <w:sz w:val="20"/>
        </w:rPr>
        <w:t>to the FDW Affidavit is a copy of GSFC’s notice of Ocober 1,</w:t>
      </w:r>
      <w:r>
        <w:rPr>
          <w:spacing w:val="-8"/>
          <w:sz w:val="20"/>
        </w:rPr>
        <w:t> </w:t>
      </w:r>
      <w:r>
        <w:rPr>
          <w:sz w:val="20"/>
        </w:rPr>
        <w:t>2020.</w:t>
      </w:r>
    </w:p>
    <w:p>
      <w:pPr>
        <w:pStyle w:val="BodyText"/>
        <w:spacing w:before="9"/>
      </w:pPr>
    </w:p>
    <w:p>
      <w:pPr>
        <w:pStyle w:val="ListParagraph"/>
        <w:numPr>
          <w:ilvl w:val="0"/>
          <w:numId w:val="1"/>
        </w:numPr>
        <w:tabs>
          <w:tab w:pos="840" w:val="left" w:leader="none"/>
          <w:tab w:pos="841" w:val="left" w:leader="none"/>
        </w:tabs>
        <w:spacing w:line="240" w:lineRule="auto" w:before="0" w:after="0"/>
        <w:ind w:left="840" w:right="0" w:hanging="721"/>
        <w:jc w:val="left"/>
        <w:rPr>
          <w:sz w:val="20"/>
        </w:rPr>
      </w:pPr>
      <w:r>
        <w:rPr>
          <w:sz w:val="20"/>
        </w:rPr>
        <w:t>I verily believe</w:t>
      </w:r>
      <w:r>
        <w:rPr>
          <w:spacing w:val="-4"/>
          <w:sz w:val="20"/>
        </w:rPr>
        <w:t> </w:t>
      </w:r>
      <w:r>
        <w:rPr>
          <w:sz w:val="20"/>
        </w:rPr>
        <w:t>that:</w:t>
      </w:r>
    </w:p>
    <w:p>
      <w:pPr>
        <w:pStyle w:val="BodyText"/>
        <w:rPr>
          <w:sz w:val="31"/>
        </w:rPr>
      </w:pPr>
    </w:p>
    <w:p>
      <w:pPr>
        <w:pStyle w:val="ListParagraph"/>
        <w:numPr>
          <w:ilvl w:val="1"/>
          <w:numId w:val="1"/>
        </w:numPr>
        <w:tabs>
          <w:tab w:pos="1559" w:val="left" w:leader="none"/>
          <w:tab w:pos="1561" w:val="left" w:leader="none"/>
        </w:tabs>
        <w:spacing w:line="240" w:lineRule="auto" w:before="1" w:after="0"/>
        <w:ind w:left="1560" w:right="0" w:hanging="721"/>
        <w:jc w:val="left"/>
        <w:rPr>
          <w:rFonts w:ascii="Symbol" w:hAnsi="Symbol"/>
          <w:sz w:val="20"/>
        </w:rPr>
      </w:pPr>
      <w:r>
        <w:rPr>
          <w:sz w:val="20"/>
        </w:rPr>
        <w:t>being an employee of a major shareholder is a material</w:t>
      </w:r>
      <w:r>
        <w:rPr>
          <w:spacing w:val="-11"/>
          <w:sz w:val="20"/>
        </w:rPr>
        <w:t> </w:t>
      </w:r>
      <w:r>
        <w:rPr>
          <w:sz w:val="20"/>
        </w:rPr>
        <w:t>relationship;</w:t>
      </w:r>
    </w:p>
    <w:p>
      <w:pPr>
        <w:pStyle w:val="BodyText"/>
        <w:rPr>
          <w:sz w:val="24"/>
        </w:rPr>
      </w:pPr>
    </w:p>
    <w:p>
      <w:pPr>
        <w:pStyle w:val="ListParagraph"/>
        <w:numPr>
          <w:ilvl w:val="1"/>
          <w:numId w:val="1"/>
        </w:numPr>
        <w:tabs>
          <w:tab w:pos="1559" w:val="left" w:leader="none"/>
          <w:tab w:pos="1561" w:val="left" w:leader="none"/>
        </w:tabs>
        <w:spacing w:line="240" w:lineRule="auto" w:before="182" w:after="0"/>
        <w:ind w:left="1560" w:right="0" w:hanging="721"/>
        <w:jc w:val="left"/>
        <w:rPr>
          <w:rFonts w:ascii="Symbol" w:hAnsi="Symbol"/>
          <w:sz w:val="20"/>
        </w:rPr>
      </w:pPr>
      <w:r>
        <w:rPr>
          <w:sz w:val="20"/>
        </w:rPr>
        <w:t>being a director of a major shareholder is also a material relationship;</w:t>
      </w:r>
      <w:r>
        <w:rPr>
          <w:spacing w:val="-15"/>
          <w:sz w:val="20"/>
        </w:rPr>
        <w:t> </w:t>
      </w:r>
      <w:r>
        <w:rPr>
          <w:sz w:val="20"/>
        </w:rPr>
        <w:t>and</w:t>
      </w:r>
    </w:p>
    <w:p>
      <w:pPr>
        <w:pStyle w:val="BodyText"/>
        <w:spacing w:before="9"/>
        <w:rPr>
          <w:sz w:val="29"/>
        </w:rPr>
      </w:pPr>
    </w:p>
    <w:p>
      <w:pPr>
        <w:pStyle w:val="ListParagraph"/>
        <w:numPr>
          <w:ilvl w:val="1"/>
          <w:numId w:val="1"/>
        </w:numPr>
        <w:tabs>
          <w:tab w:pos="1559" w:val="left" w:leader="none"/>
          <w:tab w:pos="1561" w:val="left" w:leader="none"/>
        </w:tabs>
        <w:spacing w:line="355" w:lineRule="auto" w:before="0" w:after="0"/>
        <w:ind w:left="1559" w:right="1156" w:hanging="720"/>
        <w:jc w:val="both"/>
        <w:rPr>
          <w:rFonts w:ascii="Symbol" w:hAnsi="Symbol"/>
          <w:sz w:val="20"/>
        </w:rPr>
      </w:pPr>
      <w:r>
        <w:rPr>
          <w:sz w:val="20"/>
        </w:rPr>
        <w:t>an employee and/or director of a major shareholder sitting on the board of directors of a public company is wearing two hats; with first hat being as the employee and/or director, and the second hat being as the director of the public</w:t>
      </w:r>
      <w:r>
        <w:rPr>
          <w:spacing w:val="-13"/>
          <w:sz w:val="20"/>
        </w:rPr>
        <w:t> </w:t>
      </w:r>
      <w:r>
        <w:rPr>
          <w:sz w:val="20"/>
        </w:rPr>
        <w:t>company;</w:t>
      </w:r>
    </w:p>
    <w:p>
      <w:pPr>
        <w:pStyle w:val="BodyText"/>
        <w:spacing w:before="125"/>
        <w:ind w:left="839"/>
        <w:jc w:val="both"/>
      </w:pPr>
      <w:bookmarkStart w:name="and in my experience, the two hats creat" w:id="58"/>
      <w:bookmarkEnd w:id="58"/>
      <w:r>
        <w:rPr/>
      </w:r>
      <w:r>
        <w:rPr/>
        <w:t>and in my experience, the two hats create an inherent conflict.</w:t>
      </w:r>
    </w:p>
    <w:p>
      <w:pPr>
        <w:pStyle w:val="BodyText"/>
        <w:spacing w:before="9"/>
        <w:rPr>
          <w:sz w:val="30"/>
        </w:rPr>
      </w:pPr>
    </w:p>
    <w:p>
      <w:pPr>
        <w:pStyle w:val="ListParagraph"/>
        <w:numPr>
          <w:ilvl w:val="0"/>
          <w:numId w:val="1"/>
        </w:numPr>
        <w:tabs>
          <w:tab w:pos="839" w:val="left" w:leader="none"/>
          <w:tab w:pos="840" w:val="left" w:leader="none"/>
        </w:tabs>
        <w:spacing w:line="240" w:lineRule="auto" w:before="0" w:after="0"/>
        <w:ind w:left="839" w:right="0" w:hanging="721"/>
        <w:jc w:val="left"/>
        <w:rPr>
          <w:sz w:val="20"/>
        </w:rPr>
      </w:pPr>
      <w:bookmarkStart w:name="28. I verily believe that:" w:id="59"/>
      <w:bookmarkEnd w:id="59"/>
      <w:r>
        <w:rPr/>
      </w:r>
      <w:bookmarkStart w:name="28. I verily believe that:" w:id="60"/>
      <w:bookmarkEnd w:id="60"/>
      <w:r>
        <w:rPr>
          <w:sz w:val="20"/>
        </w:rPr>
        <w:t>I</w:t>
      </w:r>
      <w:r>
        <w:rPr>
          <w:sz w:val="20"/>
        </w:rPr>
        <w:t> verily believe</w:t>
      </w:r>
      <w:r>
        <w:rPr>
          <w:spacing w:val="-4"/>
          <w:sz w:val="20"/>
        </w:rPr>
        <w:t> </w:t>
      </w:r>
      <w:r>
        <w:rPr>
          <w:sz w:val="20"/>
        </w:rPr>
        <w:t>that:</w:t>
      </w:r>
    </w:p>
    <w:p>
      <w:pPr>
        <w:pStyle w:val="BodyText"/>
        <w:rPr>
          <w:sz w:val="31"/>
        </w:rPr>
      </w:pPr>
    </w:p>
    <w:p>
      <w:pPr>
        <w:pStyle w:val="ListParagraph"/>
        <w:numPr>
          <w:ilvl w:val="1"/>
          <w:numId w:val="1"/>
        </w:numPr>
        <w:tabs>
          <w:tab w:pos="1559" w:val="left" w:leader="none"/>
          <w:tab w:pos="1560" w:val="left" w:leader="none"/>
        </w:tabs>
        <w:spacing w:line="350" w:lineRule="auto" w:before="0" w:after="0"/>
        <w:ind w:left="1559" w:right="1158" w:hanging="721"/>
        <w:jc w:val="both"/>
        <w:rPr>
          <w:rFonts w:ascii="Symbol" w:hAnsi="Symbol"/>
          <w:sz w:val="20"/>
        </w:rPr>
      </w:pPr>
      <w:r>
        <w:rPr>
          <w:sz w:val="20"/>
        </w:rPr>
        <w:t>an employee is going to do what is in the best interests of his employer, as his primary responsibility and duty is to his employer;</w:t>
      </w:r>
      <w:r>
        <w:rPr>
          <w:spacing w:val="-7"/>
          <w:sz w:val="20"/>
        </w:rPr>
        <w:t> </w:t>
      </w:r>
      <w:r>
        <w:rPr>
          <w:sz w:val="20"/>
        </w:rPr>
        <w:t>and</w:t>
      </w:r>
    </w:p>
    <w:p>
      <w:pPr>
        <w:pStyle w:val="BodyText"/>
        <w:spacing w:before="11"/>
        <w:rPr>
          <w:sz w:val="30"/>
        </w:rPr>
      </w:pPr>
    </w:p>
    <w:p>
      <w:pPr>
        <w:pStyle w:val="ListParagraph"/>
        <w:numPr>
          <w:ilvl w:val="1"/>
          <w:numId w:val="1"/>
        </w:numPr>
        <w:tabs>
          <w:tab w:pos="1559" w:val="left" w:leader="none"/>
          <w:tab w:pos="1560" w:val="left" w:leader="none"/>
        </w:tabs>
        <w:spacing w:line="350" w:lineRule="auto" w:before="0" w:after="0"/>
        <w:ind w:left="1559" w:right="1157" w:hanging="721"/>
        <w:jc w:val="both"/>
        <w:rPr>
          <w:rFonts w:ascii="Symbol" w:hAnsi="Symbol"/>
          <w:sz w:val="20"/>
        </w:rPr>
      </w:pPr>
      <w:r>
        <w:rPr>
          <w:sz w:val="20"/>
        </w:rPr>
        <w:t>it impossible for an employee of a major shareholder to choose to act in the best interests of all shareholders, rather than in the best interests of his</w:t>
      </w:r>
      <w:r>
        <w:rPr>
          <w:spacing w:val="-14"/>
          <w:sz w:val="20"/>
        </w:rPr>
        <w:t> </w:t>
      </w:r>
      <w:r>
        <w:rPr>
          <w:sz w:val="20"/>
        </w:rPr>
        <w:t>employer.</w:t>
      </w:r>
    </w:p>
    <w:p>
      <w:pPr>
        <w:spacing w:after="0" w:line="350" w:lineRule="auto"/>
        <w:jc w:val="both"/>
        <w:rPr>
          <w:rFonts w:ascii="Symbol" w:hAnsi="Symbol"/>
          <w:sz w:val="20"/>
        </w:rPr>
        <w:sectPr>
          <w:pgSz w:w="12240" w:h="15840"/>
          <w:pgMar w:header="0" w:footer="1259" w:top="1220" w:bottom="1440" w:left="1320" w:right="280"/>
        </w:sectPr>
      </w:pPr>
    </w:p>
    <w:p>
      <w:pPr>
        <w:pStyle w:val="ListParagraph"/>
        <w:numPr>
          <w:ilvl w:val="0"/>
          <w:numId w:val="1"/>
        </w:numPr>
        <w:tabs>
          <w:tab w:pos="841" w:val="left" w:leader="none"/>
        </w:tabs>
        <w:spacing w:line="360" w:lineRule="auto" w:before="75" w:after="0"/>
        <w:ind w:left="840" w:right="1157" w:hanging="721"/>
        <w:jc w:val="both"/>
        <w:rPr>
          <w:sz w:val="20"/>
        </w:rPr>
      </w:pPr>
      <w:r>
        <w:rPr/>
        <w:pict>
          <v:group style="position:absolute;margin-left:482.686005pt;margin-top:732.626099pt;width:111.6pt;height:44.95pt;mso-position-horizontal-relative:page;mso-position-vertical-relative:page;z-index:251674624" coordorigin="9654,14653" coordsize="2232,899">
            <v:shape style="position:absolute;left:11023;top:14652;width:863;height:876" type="#_x0000_t75" stroked="false">
              <v:imagedata r:id="rId9" o:title=""/>
            </v:shape>
            <v:shape style="position:absolute;left:9653;top:14676;width:1381;height:876" type="#_x0000_t75" stroked="false">
              <v:imagedata r:id="rId10" o:title=""/>
            </v:shape>
            <w10:wrap type="none"/>
          </v:group>
        </w:pict>
      </w:r>
      <w:r>
        <w:rPr>
          <w:sz w:val="20"/>
        </w:rPr>
        <w:t>I verily believe that a director of a major shareholder is going to be torn between his duty to the major shareholder, and his duty to the public</w:t>
      </w:r>
      <w:r>
        <w:rPr>
          <w:spacing w:val="-10"/>
          <w:sz w:val="20"/>
        </w:rPr>
        <w:t> </w:t>
      </w:r>
      <w:r>
        <w:rPr>
          <w:sz w:val="20"/>
        </w:rPr>
        <w:t>company.</w:t>
      </w:r>
    </w:p>
    <w:p>
      <w:pPr>
        <w:pStyle w:val="BodyText"/>
        <w:spacing w:before="10"/>
      </w:pPr>
    </w:p>
    <w:p>
      <w:pPr>
        <w:pStyle w:val="ListParagraph"/>
        <w:numPr>
          <w:ilvl w:val="0"/>
          <w:numId w:val="1"/>
        </w:numPr>
        <w:tabs>
          <w:tab w:pos="841" w:val="left" w:leader="none"/>
        </w:tabs>
        <w:spacing w:line="360" w:lineRule="auto" w:before="0" w:after="0"/>
        <w:ind w:left="840" w:right="1155" w:hanging="721"/>
        <w:jc w:val="both"/>
        <w:rPr>
          <w:sz w:val="20"/>
        </w:rPr>
      </w:pPr>
      <w:bookmarkStart w:name="30. I verily believe that Nanavaty and V" w:id="61"/>
      <w:bookmarkEnd w:id="61"/>
      <w:r>
        <w:rPr/>
      </w:r>
      <w:bookmarkStart w:name="30. I verily believe that Nanavaty and V" w:id="62"/>
      <w:bookmarkEnd w:id="62"/>
      <w:r>
        <w:rPr>
          <w:sz w:val="20"/>
        </w:rPr>
        <w:t>I</w:t>
      </w:r>
      <w:r>
        <w:rPr>
          <w:sz w:val="20"/>
        </w:rPr>
        <w:t> verily believe that Nanavaty and Varma, as employees of GSFC, cannot be considered independent</w:t>
      </w:r>
      <w:r>
        <w:rPr>
          <w:spacing w:val="-9"/>
          <w:sz w:val="20"/>
        </w:rPr>
        <w:t> </w:t>
      </w:r>
      <w:r>
        <w:rPr>
          <w:sz w:val="20"/>
        </w:rPr>
        <w:t>because</w:t>
      </w:r>
      <w:r>
        <w:rPr>
          <w:spacing w:val="-6"/>
          <w:sz w:val="20"/>
        </w:rPr>
        <w:t> </w:t>
      </w:r>
      <w:r>
        <w:rPr>
          <w:sz w:val="20"/>
        </w:rPr>
        <w:t>of</w:t>
      </w:r>
      <w:r>
        <w:rPr>
          <w:spacing w:val="-7"/>
          <w:sz w:val="20"/>
        </w:rPr>
        <w:t> </w:t>
      </w:r>
      <w:r>
        <w:rPr>
          <w:sz w:val="20"/>
        </w:rPr>
        <w:t>their</w:t>
      </w:r>
      <w:r>
        <w:rPr>
          <w:spacing w:val="-6"/>
          <w:sz w:val="20"/>
        </w:rPr>
        <w:t> </w:t>
      </w:r>
      <w:r>
        <w:rPr>
          <w:sz w:val="20"/>
        </w:rPr>
        <w:t>material</w:t>
      </w:r>
      <w:r>
        <w:rPr>
          <w:spacing w:val="-8"/>
          <w:sz w:val="20"/>
        </w:rPr>
        <w:t> </w:t>
      </w:r>
      <w:r>
        <w:rPr>
          <w:sz w:val="20"/>
        </w:rPr>
        <w:t>relationship</w:t>
      </w:r>
      <w:r>
        <w:rPr>
          <w:spacing w:val="-7"/>
          <w:sz w:val="20"/>
        </w:rPr>
        <w:t> </w:t>
      </w:r>
      <w:r>
        <w:rPr>
          <w:sz w:val="20"/>
        </w:rPr>
        <w:t>as</w:t>
      </w:r>
      <w:r>
        <w:rPr>
          <w:spacing w:val="-7"/>
          <w:sz w:val="20"/>
        </w:rPr>
        <w:t> </w:t>
      </w:r>
      <w:r>
        <w:rPr>
          <w:sz w:val="20"/>
        </w:rPr>
        <w:t>employees</w:t>
      </w:r>
      <w:r>
        <w:rPr>
          <w:spacing w:val="-7"/>
          <w:sz w:val="20"/>
        </w:rPr>
        <w:t> </w:t>
      </w:r>
      <w:r>
        <w:rPr>
          <w:sz w:val="20"/>
        </w:rPr>
        <w:t>of</w:t>
      </w:r>
      <w:r>
        <w:rPr>
          <w:spacing w:val="-7"/>
          <w:sz w:val="20"/>
        </w:rPr>
        <w:t> </w:t>
      </w:r>
      <w:r>
        <w:rPr>
          <w:sz w:val="20"/>
        </w:rPr>
        <w:t>GSFC,</w:t>
      </w:r>
      <w:r>
        <w:rPr>
          <w:spacing w:val="-7"/>
          <w:sz w:val="20"/>
        </w:rPr>
        <w:t> </w:t>
      </w:r>
      <w:r>
        <w:rPr>
          <w:sz w:val="20"/>
        </w:rPr>
        <w:t>and</w:t>
      </w:r>
      <w:r>
        <w:rPr>
          <w:spacing w:val="-8"/>
          <w:sz w:val="20"/>
        </w:rPr>
        <w:t> </w:t>
      </w:r>
      <w:r>
        <w:rPr>
          <w:sz w:val="20"/>
        </w:rPr>
        <w:t>when</w:t>
      </w:r>
      <w:r>
        <w:rPr>
          <w:spacing w:val="-6"/>
          <w:sz w:val="20"/>
        </w:rPr>
        <w:t> </w:t>
      </w:r>
      <w:r>
        <w:rPr>
          <w:sz w:val="20"/>
        </w:rPr>
        <w:t>coupled</w:t>
      </w:r>
      <w:r>
        <w:rPr>
          <w:spacing w:val="-6"/>
          <w:sz w:val="20"/>
        </w:rPr>
        <w:t> </w:t>
      </w:r>
      <w:r>
        <w:rPr>
          <w:sz w:val="20"/>
        </w:rPr>
        <w:t>with their duty to their employer, prevents them from exercising “</w:t>
      </w:r>
      <w:r>
        <w:rPr>
          <w:i/>
          <w:sz w:val="20"/>
        </w:rPr>
        <w:t>independent</w:t>
      </w:r>
      <w:r>
        <w:rPr>
          <w:i/>
          <w:spacing w:val="-14"/>
          <w:sz w:val="20"/>
        </w:rPr>
        <w:t> </w:t>
      </w:r>
      <w:r>
        <w:rPr>
          <w:i/>
          <w:sz w:val="20"/>
        </w:rPr>
        <w:t>judgment</w:t>
      </w:r>
      <w:r>
        <w:rPr>
          <w:sz w:val="20"/>
        </w:rPr>
        <w:t>”.</w:t>
      </w:r>
    </w:p>
    <w:p>
      <w:pPr>
        <w:pStyle w:val="BodyText"/>
        <w:spacing w:before="10"/>
      </w:pPr>
    </w:p>
    <w:p>
      <w:pPr>
        <w:pStyle w:val="ListParagraph"/>
        <w:numPr>
          <w:ilvl w:val="0"/>
          <w:numId w:val="1"/>
        </w:numPr>
        <w:tabs>
          <w:tab w:pos="841" w:val="left" w:leader="none"/>
        </w:tabs>
        <w:spacing w:line="360" w:lineRule="auto" w:before="0" w:after="0"/>
        <w:ind w:left="840" w:right="1155" w:hanging="721"/>
        <w:jc w:val="both"/>
        <w:rPr>
          <w:sz w:val="20"/>
        </w:rPr>
      </w:pPr>
      <w:bookmarkStart w:name="31. I verily believe that Anjaria, as a " w:id="63"/>
      <w:bookmarkEnd w:id="63"/>
      <w:r>
        <w:rPr/>
      </w:r>
      <w:bookmarkStart w:name="31. I verily believe that Anjaria, as a " w:id="64"/>
      <w:bookmarkEnd w:id="64"/>
      <w:r>
        <w:rPr>
          <w:sz w:val="20"/>
        </w:rPr>
        <w:t>I</w:t>
      </w:r>
      <w:r>
        <w:rPr>
          <w:spacing w:val="-13"/>
          <w:sz w:val="20"/>
        </w:rPr>
        <w:t> </w:t>
      </w:r>
      <w:r>
        <w:rPr>
          <w:sz w:val="20"/>
        </w:rPr>
        <w:t>verily</w:t>
      </w:r>
      <w:r>
        <w:rPr>
          <w:spacing w:val="-11"/>
          <w:sz w:val="20"/>
        </w:rPr>
        <w:t> </w:t>
      </w:r>
      <w:r>
        <w:rPr>
          <w:sz w:val="20"/>
        </w:rPr>
        <w:t>believe</w:t>
      </w:r>
      <w:r>
        <w:rPr>
          <w:spacing w:val="-12"/>
          <w:sz w:val="20"/>
        </w:rPr>
        <w:t> </w:t>
      </w:r>
      <w:r>
        <w:rPr>
          <w:sz w:val="20"/>
        </w:rPr>
        <w:t>that</w:t>
      </w:r>
      <w:r>
        <w:rPr>
          <w:spacing w:val="-12"/>
          <w:sz w:val="20"/>
        </w:rPr>
        <w:t> </w:t>
      </w:r>
      <w:r>
        <w:rPr>
          <w:sz w:val="20"/>
        </w:rPr>
        <w:t>Anjaria,</w:t>
      </w:r>
      <w:r>
        <w:rPr>
          <w:spacing w:val="-13"/>
          <w:sz w:val="20"/>
        </w:rPr>
        <w:t> </w:t>
      </w:r>
      <w:r>
        <w:rPr>
          <w:sz w:val="20"/>
        </w:rPr>
        <w:t>as</w:t>
      </w:r>
      <w:r>
        <w:rPr>
          <w:spacing w:val="-12"/>
          <w:sz w:val="20"/>
        </w:rPr>
        <w:t> </w:t>
      </w:r>
      <w:r>
        <w:rPr>
          <w:sz w:val="20"/>
        </w:rPr>
        <w:t>a</w:t>
      </w:r>
      <w:r>
        <w:rPr>
          <w:spacing w:val="-11"/>
          <w:sz w:val="20"/>
        </w:rPr>
        <w:t> </w:t>
      </w:r>
      <w:r>
        <w:rPr>
          <w:sz w:val="20"/>
        </w:rPr>
        <w:t>director</w:t>
      </w:r>
      <w:r>
        <w:rPr>
          <w:spacing w:val="-12"/>
          <w:sz w:val="20"/>
        </w:rPr>
        <w:t> </w:t>
      </w:r>
      <w:r>
        <w:rPr>
          <w:sz w:val="20"/>
        </w:rPr>
        <w:t>of</w:t>
      </w:r>
      <w:r>
        <w:rPr>
          <w:spacing w:val="-13"/>
          <w:sz w:val="20"/>
        </w:rPr>
        <w:t> </w:t>
      </w:r>
      <w:r>
        <w:rPr>
          <w:sz w:val="20"/>
        </w:rPr>
        <w:t>GSFC</w:t>
      </w:r>
      <w:r>
        <w:rPr>
          <w:spacing w:val="-11"/>
          <w:sz w:val="20"/>
        </w:rPr>
        <w:t> </w:t>
      </w:r>
      <w:r>
        <w:rPr>
          <w:sz w:val="20"/>
        </w:rPr>
        <w:t>for</w:t>
      </w:r>
      <w:r>
        <w:rPr>
          <w:spacing w:val="-11"/>
          <w:sz w:val="20"/>
        </w:rPr>
        <w:t> </w:t>
      </w:r>
      <w:r>
        <w:rPr>
          <w:sz w:val="20"/>
        </w:rPr>
        <w:t>10</w:t>
      </w:r>
      <w:r>
        <w:rPr>
          <w:spacing w:val="-12"/>
          <w:sz w:val="20"/>
        </w:rPr>
        <w:t> </w:t>
      </w:r>
      <w:r>
        <w:rPr>
          <w:sz w:val="20"/>
        </w:rPr>
        <w:t>years</w:t>
      </w:r>
      <w:r>
        <w:rPr>
          <w:spacing w:val="-11"/>
          <w:sz w:val="20"/>
        </w:rPr>
        <w:t> </w:t>
      </w:r>
      <w:r>
        <w:rPr>
          <w:sz w:val="20"/>
        </w:rPr>
        <w:t>before</w:t>
      </w:r>
      <w:r>
        <w:rPr>
          <w:spacing w:val="-11"/>
          <w:sz w:val="20"/>
        </w:rPr>
        <w:t> </w:t>
      </w:r>
      <w:r>
        <w:rPr>
          <w:sz w:val="20"/>
        </w:rPr>
        <w:t>he</w:t>
      </w:r>
      <w:r>
        <w:rPr>
          <w:spacing w:val="-12"/>
          <w:sz w:val="20"/>
        </w:rPr>
        <w:t> </w:t>
      </w:r>
      <w:r>
        <w:rPr>
          <w:sz w:val="20"/>
        </w:rPr>
        <w:t>retired</w:t>
      </w:r>
      <w:r>
        <w:rPr>
          <w:spacing w:val="-11"/>
          <w:sz w:val="20"/>
        </w:rPr>
        <w:t> </w:t>
      </w:r>
      <w:r>
        <w:rPr>
          <w:sz w:val="20"/>
        </w:rPr>
        <w:t>in</w:t>
      </w:r>
      <w:r>
        <w:rPr>
          <w:spacing w:val="-12"/>
          <w:sz w:val="20"/>
        </w:rPr>
        <w:t> </w:t>
      </w:r>
      <w:r>
        <w:rPr>
          <w:sz w:val="20"/>
        </w:rPr>
        <w:t>September</w:t>
      </w:r>
      <w:r>
        <w:rPr>
          <w:spacing w:val="-12"/>
          <w:sz w:val="20"/>
        </w:rPr>
        <w:t> </w:t>
      </w:r>
      <w:r>
        <w:rPr>
          <w:sz w:val="20"/>
        </w:rPr>
        <w:t>2020, and as one of the directors of GSFC responsible for approving the original $45 million investment by GSFC in KRN in 2013, cannot be considered independent because of his material relationship with GSFC. I verily believe that this relationship prevents Anjaria from exercising “</w:t>
      </w:r>
      <w:r>
        <w:rPr>
          <w:i/>
          <w:sz w:val="20"/>
        </w:rPr>
        <w:t>independent </w:t>
      </w:r>
      <w:r>
        <w:rPr>
          <w:i/>
          <w:sz w:val="20"/>
        </w:rPr>
        <w:t>judgement</w:t>
      </w:r>
      <w:r>
        <w:rPr>
          <w:sz w:val="20"/>
        </w:rPr>
        <w:t>”</w:t>
      </w:r>
    </w:p>
    <w:p>
      <w:pPr>
        <w:pStyle w:val="BodyText"/>
        <w:spacing w:before="11"/>
      </w:pPr>
    </w:p>
    <w:p>
      <w:pPr>
        <w:pStyle w:val="ListParagraph"/>
        <w:numPr>
          <w:ilvl w:val="0"/>
          <w:numId w:val="1"/>
        </w:numPr>
        <w:tabs>
          <w:tab w:pos="839" w:val="left" w:leader="none"/>
          <w:tab w:pos="841" w:val="left" w:leader="none"/>
        </w:tabs>
        <w:spacing w:line="240" w:lineRule="auto" w:before="0" w:after="0"/>
        <w:ind w:left="840" w:right="0" w:hanging="722"/>
        <w:jc w:val="left"/>
        <w:rPr>
          <w:sz w:val="20"/>
        </w:rPr>
      </w:pPr>
      <w:bookmarkStart w:name="32. I verily believe that each of Nanavt" w:id="65"/>
      <w:bookmarkEnd w:id="65"/>
      <w:r>
        <w:rPr/>
      </w:r>
      <w:bookmarkStart w:name="32. I verily believe that each of Nanavt" w:id="66"/>
      <w:bookmarkEnd w:id="66"/>
      <w:r>
        <w:rPr>
          <w:sz w:val="20"/>
        </w:rPr>
        <w:t>I</w:t>
      </w:r>
      <w:r>
        <w:rPr>
          <w:sz w:val="20"/>
        </w:rPr>
        <w:t> verily believe that each of Nanavty’s, Varma’s and Anjaria’s loyalty is to GSFC, and not to</w:t>
      </w:r>
      <w:r>
        <w:rPr>
          <w:spacing w:val="-29"/>
          <w:sz w:val="20"/>
        </w:rPr>
        <w:t> </w:t>
      </w:r>
      <w:r>
        <w:rPr>
          <w:sz w:val="20"/>
        </w:rPr>
        <w:t>KRN.</w:t>
      </w:r>
    </w:p>
    <w:p>
      <w:pPr>
        <w:pStyle w:val="BodyText"/>
        <w:spacing w:before="9"/>
        <w:rPr>
          <w:sz w:val="30"/>
        </w:rPr>
      </w:pPr>
    </w:p>
    <w:p>
      <w:pPr>
        <w:pStyle w:val="ListParagraph"/>
        <w:numPr>
          <w:ilvl w:val="0"/>
          <w:numId w:val="1"/>
        </w:numPr>
        <w:tabs>
          <w:tab w:pos="840" w:val="left" w:leader="none"/>
        </w:tabs>
        <w:spacing w:line="360" w:lineRule="auto" w:before="1" w:after="0"/>
        <w:ind w:left="839" w:right="1156" w:hanging="721"/>
        <w:jc w:val="both"/>
        <w:rPr>
          <w:sz w:val="20"/>
        </w:rPr>
      </w:pPr>
      <w:r>
        <w:rPr>
          <w:sz w:val="20"/>
        </w:rPr>
        <w:t>The TSX Rules state that a director who is nominated by someone who is a 10% shareholder, is not independent. Attached and marked as </w:t>
      </w:r>
      <w:r>
        <w:rPr>
          <w:b/>
          <w:sz w:val="20"/>
        </w:rPr>
        <w:t>Exhibit “M” </w:t>
      </w:r>
      <w:r>
        <w:rPr>
          <w:sz w:val="20"/>
        </w:rPr>
        <w:t>to the FDW Affidavit is a copy of Section 311 of the TSX Company</w:t>
      </w:r>
      <w:r>
        <w:rPr>
          <w:spacing w:val="-6"/>
          <w:sz w:val="20"/>
        </w:rPr>
        <w:t> </w:t>
      </w:r>
      <w:r>
        <w:rPr>
          <w:sz w:val="20"/>
        </w:rPr>
        <w:t>Manual.</w:t>
      </w:r>
    </w:p>
    <w:p>
      <w:pPr>
        <w:pStyle w:val="BodyText"/>
        <w:spacing w:before="10"/>
      </w:pPr>
    </w:p>
    <w:p>
      <w:pPr>
        <w:pStyle w:val="ListParagraph"/>
        <w:numPr>
          <w:ilvl w:val="0"/>
          <w:numId w:val="1"/>
        </w:numPr>
        <w:tabs>
          <w:tab w:pos="840" w:val="left" w:leader="none"/>
        </w:tabs>
        <w:spacing w:line="360" w:lineRule="auto" w:before="0" w:after="0"/>
        <w:ind w:left="839" w:right="1156" w:hanging="721"/>
        <w:jc w:val="both"/>
        <w:rPr>
          <w:sz w:val="20"/>
        </w:rPr>
      </w:pPr>
      <w:r>
        <w:rPr>
          <w:sz w:val="20"/>
        </w:rPr>
        <w:t>GSFC owns more than 10% of the shares of KRN. I verily believe that Nanavaty, Varma and Anjaria are all nominated by GSFC; therefore, none of Nanavaty, Varma, or Anjaria are independent according to the TSX</w:t>
      </w:r>
      <w:r>
        <w:rPr>
          <w:spacing w:val="-6"/>
          <w:sz w:val="20"/>
        </w:rPr>
        <w:t> </w:t>
      </w:r>
      <w:r>
        <w:rPr>
          <w:sz w:val="20"/>
        </w:rPr>
        <w:t>Rules.</w:t>
      </w:r>
    </w:p>
    <w:p>
      <w:pPr>
        <w:pStyle w:val="BodyText"/>
        <w:spacing w:before="9"/>
      </w:pPr>
    </w:p>
    <w:p>
      <w:pPr>
        <w:pStyle w:val="ListParagraph"/>
        <w:numPr>
          <w:ilvl w:val="0"/>
          <w:numId w:val="2"/>
        </w:numPr>
        <w:tabs>
          <w:tab w:pos="839" w:val="left" w:leader="none"/>
          <w:tab w:pos="841" w:val="left" w:leader="none"/>
        </w:tabs>
        <w:spacing w:line="240" w:lineRule="auto" w:before="0" w:after="0"/>
        <w:ind w:left="840" w:right="0" w:hanging="721"/>
        <w:jc w:val="left"/>
        <w:rPr>
          <w:sz w:val="20"/>
        </w:rPr>
      </w:pPr>
      <w:r>
        <w:rPr>
          <w:sz w:val="20"/>
          <w:u w:val="single"/>
        </w:rPr>
        <w:t>Independent by</w:t>
      </w:r>
      <w:r>
        <w:rPr>
          <w:spacing w:val="-3"/>
          <w:sz w:val="20"/>
          <w:u w:val="single"/>
        </w:rPr>
        <w:t> </w:t>
      </w:r>
      <w:r>
        <w:rPr>
          <w:sz w:val="20"/>
          <w:u w:val="single"/>
        </w:rPr>
        <w:t>Action</w:t>
      </w:r>
    </w:p>
    <w:p>
      <w:pPr>
        <w:pStyle w:val="BodyText"/>
        <w:spacing w:before="9"/>
        <w:rPr>
          <w:sz w:val="22"/>
        </w:rPr>
      </w:pPr>
    </w:p>
    <w:p>
      <w:pPr>
        <w:pStyle w:val="ListParagraph"/>
        <w:numPr>
          <w:ilvl w:val="0"/>
          <w:numId w:val="1"/>
        </w:numPr>
        <w:tabs>
          <w:tab w:pos="841" w:val="left" w:leader="none"/>
        </w:tabs>
        <w:spacing w:line="360" w:lineRule="auto" w:before="94" w:after="0"/>
        <w:ind w:left="839" w:right="1155" w:hanging="720"/>
        <w:jc w:val="both"/>
        <w:rPr>
          <w:sz w:val="20"/>
        </w:rPr>
      </w:pPr>
      <w:r>
        <w:rPr>
          <w:sz w:val="20"/>
        </w:rPr>
        <w:t>I</w:t>
      </w:r>
      <w:r>
        <w:rPr>
          <w:spacing w:val="-16"/>
          <w:sz w:val="20"/>
        </w:rPr>
        <w:t> </w:t>
      </w:r>
      <w:r>
        <w:rPr>
          <w:sz w:val="20"/>
        </w:rPr>
        <w:t>verily</w:t>
      </w:r>
      <w:r>
        <w:rPr>
          <w:spacing w:val="-15"/>
          <w:sz w:val="20"/>
        </w:rPr>
        <w:t> </w:t>
      </w:r>
      <w:r>
        <w:rPr>
          <w:sz w:val="20"/>
        </w:rPr>
        <w:t>believe</w:t>
      </w:r>
      <w:r>
        <w:rPr>
          <w:spacing w:val="-16"/>
          <w:sz w:val="20"/>
        </w:rPr>
        <w:t> </w:t>
      </w:r>
      <w:r>
        <w:rPr>
          <w:sz w:val="20"/>
        </w:rPr>
        <w:t>that</w:t>
      </w:r>
      <w:r>
        <w:rPr>
          <w:spacing w:val="-16"/>
          <w:sz w:val="20"/>
        </w:rPr>
        <w:t> </w:t>
      </w:r>
      <w:r>
        <w:rPr>
          <w:sz w:val="20"/>
        </w:rPr>
        <w:t>Varma</w:t>
      </w:r>
      <w:r>
        <w:rPr>
          <w:spacing w:val="-17"/>
          <w:sz w:val="20"/>
        </w:rPr>
        <w:t> </w:t>
      </w:r>
      <w:r>
        <w:rPr>
          <w:sz w:val="20"/>
        </w:rPr>
        <w:t>and</w:t>
      </w:r>
      <w:r>
        <w:rPr>
          <w:spacing w:val="-16"/>
          <w:sz w:val="20"/>
        </w:rPr>
        <w:t> </w:t>
      </w:r>
      <w:r>
        <w:rPr>
          <w:sz w:val="20"/>
        </w:rPr>
        <w:t>Nanavaty</w:t>
      </w:r>
      <w:r>
        <w:rPr>
          <w:spacing w:val="-17"/>
          <w:sz w:val="20"/>
        </w:rPr>
        <w:t> </w:t>
      </w:r>
      <w:r>
        <w:rPr>
          <w:sz w:val="20"/>
        </w:rPr>
        <w:t>regularly</w:t>
      </w:r>
      <w:r>
        <w:rPr>
          <w:spacing w:val="-15"/>
          <w:sz w:val="20"/>
        </w:rPr>
        <w:t> </w:t>
      </w:r>
      <w:r>
        <w:rPr>
          <w:sz w:val="20"/>
        </w:rPr>
        <w:t>sought</w:t>
      </w:r>
      <w:r>
        <w:rPr>
          <w:spacing w:val="-17"/>
          <w:sz w:val="20"/>
        </w:rPr>
        <w:t> </w:t>
      </w:r>
      <w:r>
        <w:rPr>
          <w:sz w:val="20"/>
        </w:rPr>
        <w:t>guidance</w:t>
      </w:r>
      <w:r>
        <w:rPr>
          <w:spacing w:val="-16"/>
          <w:sz w:val="20"/>
        </w:rPr>
        <w:t> </w:t>
      </w:r>
      <w:r>
        <w:rPr>
          <w:sz w:val="20"/>
        </w:rPr>
        <w:t>and</w:t>
      </w:r>
      <w:r>
        <w:rPr>
          <w:spacing w:val="-16"/>
          <w:sz w:val="20"/>
        </w:rPr>
        <w:t> </w:t>
      </w:r>
      <w:r>
        <w:rPr>
          <w:sz w:val="20"/>
        </w:rPr>
        <w:t>instructions</w:t>
      </w:r>
      <w:r>
        <w:rPr>
          <w:spacing w:val="-15"/>
          <w:sz w:val="20"/>
        </w:rPr>
        <w:t> </w:t>
      </w:r>
      <w:r>
        <w:rPr>
          <w:sz w:val="20"/>
        </w:rPr>
        <w:t>from</w:t>
      </w:r>
      <w:r>
        <w:rPr>
          <w:spacing w:val="-16"/>
          <w:sz w:val="20"/>
        </w:rPr>
        <w:t> </w:t>
      </w:r>
      <w:r>
        <w:rPr>
          <w:sz w:val="20"/>
        </w:rPr>
        <w:t>their</w:t>
      </w:r>
      <w:r>
        <w:rPr>
          <w:spacing w:val="-17"/>
          <w:sz w:val="20"/>
        </w:rPr>
        <w:t> </w:t>
      </w:r>
      <w:r>
        <w:rPr>
          <w:sz w:val="20"/>
        </w:rPr>
        <w:t>boss, the GSFC MD, who is not a member of the KRN Board, on matters relating to Karnalyte. I verily believe that if the GSFC</w:t>
      </w:r>
      <w:r>
        <w:rPr>
          <w:spacing w:val="-5"/>
          <w:sz w:val="20"/>
        </w:rPr>
        <w:t> </w:t>
      </w:r>
      <w:r>
        <w:rPr>
          <w:sz w:val="20"/>
        </w:rPr>
        <w:t>Nominees:</w:t>
      </w:r>
    </w:p>
    <w:p>
      <w:pPr>
        <w:pStyle w:val="BodyText"/>
        <w:spacing w:before="10"/>
      </w:pPr>
    </w:p>
    <w:p>
      <w:pPr>
        <w:pStyle w:val="ListParagraph"/>
        <w:numPr>
          <w:ilvl w:val="1"/>
          <w:numId w:val="1"/>
        </w:numPr>
        <w:tabs>
          <w:tab w:pos="1559" w:val="left" w:leader="none"/>
          <w:tab w:pos="1560" w:val="left" w:leader="none"/>
        </w:tabs>
        <w:spacing w:line="240" w:lineRule="auto" w:before="1" w:after="0"/>
        <w:ind w:left="1559" w:right="0" w:hanging="721"/>
        <w:jc w:val="left"/>
        <w:rPr>
          <w:rFonts w:ascii="Symbol" w:hAnsi="Symbol"/>
          <w:sz w:val="20"/>
        </w:rPr>
      </w:pPr>
      <w:r>
        <w:rPr>
          <w:sz w:val="20"/>
        </w:rPr>
        <w:t>have to seek general guidance and instructions from their boss;</w:t>
      </w:r>
      <w:r>
        <w:rPr>
          <w:spacing w:val="-12"/>
          <w:sz w:val="20"/>
        </w:rPr>
        <w:t> </w:t>
      </w:r>
      <w:r>
        <w:rPr>
          <w:sz w:val="20"/>
        </w:rPr>
        <w:t>and</w:t>
      </w:r>
    </w:p>
    <w:p>
      <w:pPr>
        <w:pStyle w:val="BodyText"/>
        <w:rPr>
          <w:sz w:val="24"/>
        </w:rPr>
      </w:pPr>
    </w:p>
    <w:p>
      <w:pPr>
        <w:pStyle w:val="ListParagraph"/>
        <w:numPr>
          <w:ilvl w:val="1"/>
          <w:numId w:val="1"/>
        </w:numPr>
        <w:tabs>
          <w:tab w:pos="1559" w:val="left" w:leader="none"/>
          <w:tab w:pos="1560" w:val="left" w:leader="none"/>
        </w:tabs>
        <w:spacing w:line="350" w:lineRule="auto" w:before="182" w:after="0"/>
        <w:ind w:left="1559" w:right="1157" w:hanging="721"/>
        <w:jc w:val="left"/>
        <w:rPr>
          <w:rFonts w:ascii="Symbol" w:hAnsi="Symbol"/>
          <w:sz w:val="20"/>
        </w:rPr>
      </w:pPr>
      <w:r>
        <w:rPr>
          <w:sz w:val="20"/>
        </w:rPr>
        <w:t>have</w:t>
      </w:r>
      <w:r>
        <w:rPr>
          <w:spacing w:val="-4"/>
          <w:sz w:val="20"/>
        </w:rPr>
        <w:t> </w:t>
      </w:r>
      <w:r>
        <w:rPr>
          <w:sz w:val="20"/>
        </w:rPr>
        <w:t>to</w:t>
      </w:r>
      <w:r>
        <w:rPr>
          <w:spacing w:val="-3"/>
          <w:sz w:val="20"/>
        </w:rPr>
        <w:t> </w:t>
      </w:r>
      <w:r>
        <w:rPr>
          <w:sz w:val="20"/>
        </w:rPr>
        <w:t>seek</w:t>
      </w:r>
      <w:r>
        <w:rPr>
          <w:spacing w:val="-2"/>
          <w:sz w:val="20"/>
        </w:rPr>
        <w:t> </w:t>
      </w:r>
      <w:r>
        <w:rPr>
          <w:sz w:val="20"/>
        </w:rPr>
        <w:t>specific</w:t>
      </w:r>
      <w:r>
        <w:rPr>
          <w:spacing w:val="-2"/>
          <w:sz w:val="20"/>
        </w:rPr>
        <w:t> </w:t>
      </w:r>
      <w:r>
        <w:rPr>
          <w:sz w:val="20"/>
        </w:rPr>
        <w:t>instructions</w:t>
      </w:r>
      <w:r>
        <w:rPr>
          <w:spacing w:val="-2"/>
          <w:sz w:val="20"/>
        </w:rPr>
        <w:t> </w:t>
      </w:r>
      <w:r>
        <w:rPr>
          <w:sz w:val="20"/>
        </w:rPr>
        <w:t>from</w:t>
      </w:r>
      <w:r>
        <w:rPr>
          <w:spacing w:val="-4"/>
          <w:sz w:val="20"/>
        </w:rPr>
        <w:t> </w:t>
      </w:r>
      <w:r>
        <w:rPr>
          <w:sz w:val="20"/>
        </w:rPr>
        <w:t>their</w:t>
      </w:r>
      <w:r>
        <w:rPr>
          <w:spacing w:val="-3"/>
          <w:sz w:val="20"/>
        </w:rPr>
        <w:t> </w:t>
      </w:r>
      <w:r>
        <w:rPr>
          <w:sz w:val="20"/>
        </w:rPr>
        <w:t>boss</w:t>
      </w:r>
      <w:r>
        <w:rPr>
          <w:spacing w:val="-2"/>
          <w:sz w:val="20"/>
        </w:rPr>
        <w:t> </w:t>
      </w:r>
      <w:r>
        <w:rPr>
          <w:sz w:val="20"/>
        </w:rPr>
        <w:t>as</w:t>
      </w:r>
      <w:r>
        <w:rPr>
          <w:spacing w:val="-2"/>
          <w:sz w:val="20"/>
        </w:rPr>
        <w:t> </w:t>
      </w:r>
      <w:r>
        <w:rPr>
          <w:sz w:val="20"/>
        </w:rPr>
        <w:t>how</w:t>
      </w:r>
      <w:r>
        <w:rPr>
          <w:spacing w:val="-3"/>
          <w:sz w:val="20"/>
        </w:rPr>
        <w:t> </w:t>
      </w:r>
      <w:r>
        <w:rPr>
          <w:sz w:val="20"/>
        </w:rPr>
        <w:t>to</w:t>
      </w:r>
      <w:r>
        <w:rPr>
          <w:spacing w:val="-3"/>
          <w:sz w:val="20"/>
        </w:rPr>
        <w:t> </w:t>
      </w:r>
      <w:r>
        <w:rPr>
          <w:sz w:val="20"/>
        </w:rPr>
        <w:t>vote</w:t>
      </w:r>
      <w:r>
        <w:rPr>
          <w:spacing w:val="-4"/>
          <w:sz w:val="20"/>
        </w:rPr>
        <w:t> </w:t>
      </w:r>
      <w:r>
        <w:rPr>
          <w:sz w:val="20"/>
        </w:rPr>
        <w:t>on</w:t>
      </w:r>
      <w:r>
        <w:rPr>
          <w:spacing w:val="-4"/>
          <w:sz w:val="20"/>
        </w:rPr>
        <w:t> </w:t>
      </w:r>
      <w:r>
        <w:rPr>
          <w:sz w:val="20"/>
        </w:rPr>
        <w:t>a</w:t>
      </w:r>
      <w:r>
        <w:rPr>
          <w:spacing w:val="-3"/>
          <w:sz w:val="20"/>
        </w:rPr>
        <w:t> </w:t>
      </w:r>
      <w:r>
        <w:rPr>
          <w:sz w:val="20"/>
        </w:rPr>
        <w:t>matter</w:t>
      </w:r>
      <w:r>
        <w:rPr>
          <w:spacing w:val="-3"/>
          <w:sz w:val="20"/>
        </w:rPr>
        <w:t> </w:t>
      </w:r>
      <w:r>
        <w:rPr>
          <w:sz w:val="20"/>
        </w:rPr>
        <w:t>in</w:t>
      </w:r>
      <w:r>
        <w:rPr>
          <w:spacing w:val="-3"/>
          <w:sz w:val="20"/>
        </w:rPr>
        <w:t> </w:t>
      </w:r>
      <w:r>
        <w:rPr>
          <w:sz w:val="20"/>
        </w:rPr>
        <w:t>front</w:t>
      </w:r>
      <w:r>
        <w:rPr>
          <w:spacing w:val="-4"/>
          <w:sz w:val="20"/>
        </w:rPr>
        <w:t> </w:t>
      </w:r>
      <w:r>
        <w:rPr>
          <w:sz w:val="20"/>
        </w:rPr>
        <w:t>of</w:t>
      </w:r>
      <w:r>
        <w:rPr>
          <w:spacing w:val="-4"/>
          <w:sz w:val="20"/>
        </w:rPr>
        <w:t> </w:t>
      </w:r>
      <w:r>
        <w:rPr>
          <w:sz w:val="20"/>
        </w:rPr>
        <w:t>the KRN Board for</w:t>
      </w:r>
      <w:r>
        <w:rPr>
          <w:spacing w:val="-2"/>
          <w:sz w:val="20"/>
        </w:rPr>
        <w:t> </w:t>
      </w:r>
      <w:r>
        <w:rPr>
          <w:sz w:val="20"/>
        </w:rPr>
        <w:t>approval;</w:t>
      </w:r>
    </w:p>
    <w:p>
      <w:pPr>
        <w:pStyle w:val="BodyText"/>
        <w:spacing w:before="7"/>
        <w:rPr>
          <w:sz w:val="21"/>
        </w:rPr>
      </w:pPr>
    </w:p>
    <w:p>
      <w:pPr>
        <w:spacing w:before="0"/>
        <w:ind w:left="839" w:right="0" w:firstLine="0"/>
        <w:jc w:val="left"/>
        <w:rPr>
          <w:sz w:val="20"/>
        </w:rPr>
      </w:pPr>
      <w:r>
        <w:rPr>
          <w:sz w:val="20"/>
        </w:rPr>
        <w:t>then they are not exercising “</w:t>
      </w:r>
      <w:r>
        <w:rPr>
          <w:i/>
          <w:sz w:val="20"/>
        </w:rPr>
        <w:t>independent judgement</w:t>
      </w:r>
      <w:r>
        <w:rPr>
          <w:sz w:val="20"/>
        </w:rPr>
        <w:t>” and cannot be considered to be independent.</w:t>
      </w:r>
    </w:p>
    <w:p>
      <w:pPr>
        <w:spacing w:after="0"/>
        <w:jc w:val="left"/>
        <w:rPr>
          <w:sz w:val="20"/>
        </w:rPr>
        <w:sectPr>
          <w:pgSz w:w="12240" w:h="15840"/>
          <w:pgMar w:header="0" w:footer="1259" w:top="1220" w:bottom="1440" w:left="1320" w:right="280"/>
        </w:sectPr>
      </w:pPr>
    </w:p>
    <w:p>
      <w:pPr>
        <w:pStyle w:val="Heading1"/>
        <w:numPr>
          <w:ilvl w:val="0"/>
          <w:numId w:val="3"/>
        </w:numPr>
        <w:tabs>
          <w:tab w:pos="1559" w:val="left" w:leader="none"/>
          <w:tab w:pos="1561" w:val="left" w:leader="none"/>
        </w:tabs>
        <w:spacing w:line="240" w:lineRule="auto" w:before="75" w:after="0"/>
        <w:ind w:left="1560" w:right="0" w:hanging="721"/>
        <w:jc w:val="left"/>
      </w:pPr>
      <w:r>
        <w:rPr/>
        <w:pict>
          <v:group style="position:absolute;margin-left:479.138pt;margin-top:733.809021pt;width:111.6pt;height:51.45pt;mso-position-horizontal-relative:page;mso-position-vertical-relative:page;z-index:251675648" coordorigin="9583,14676" coordsize="2232,1029">
            <v:shape style="position:absolute;left:10952;top:14829;width:863;height:876" type="#_x0000_t75" stroked="false">
              <v:imagedata r:id="rId9" o:title=""/>
            </v:shape>
            <v:shape style="position:absolute;left:9582;top:14676;width:1381;height:876" type="#_x0000_t75" stroked="false">
              <v:imagedata r:id="rId10" o:title=""/>
            </v:shape>
            <w10:wrap type="none"/>
          </v:group>
        </w:pict>
      </w:r>
      <w:bookmarkStart w:name="i) Varma’s Actions" w:id="67"/>
      <w:bookmarkEnd w:id="67"/>
      <w:r>
        <w:rPr>
          <w:b w:val="0"/>
        </w:rPr>
      </w:r>
      <w:bookmarkStart w:name="i) Varma’s Actions" w:id="68"/>
      <w:bookmarkEnd w:id="68"/>
      <w:r>
        <w:rPr/>
        <w:t>V</w:t>
      </w:r>
      <w:r>
        <w:rPr/>
        <w:t>arma’s</w:t>
      </w:r>
      <w:r>
        <w:rPr>
          <w:spacing w:val="-3"/>
        </w:rPr>
        <w:t> </w:t>
      </w:r>
      <w:r>
        <w:rPr/>
        <w:t>Actions</w:t>
      </w:r>
    </w:p>
    <w:p>
      <w:pPr>
        <w:pStyle w:val="BodyText"/>
        <w:spacing w:before="10"/>
        <w:rPr>
          <w:b/>
          <w:sz w:val="30"/>
        </w:rPr>
      </w:pPr>
    </w:p>
    <w:p>
      <w:pPr>
        <w:pStyle w:val="ListParagraph"/>
        <w:numPr>
          <w:ilvl w:val="0"/>
          <w:numId w:val="1"/>
        </w:numPr>
        <w:tabs>
          <w:tab w:pos="840" w:val="left" w:leader="none"/>
        </w:tabs>
        <w:spacing w:line="360" w:lineRule="auto" w:before="0" w:after="0"/>
        <w:ind w:left="839" w:right="1156" w:hanging="720"/>
        <w:jc w:val="both"/>
        <w:rPr>
          <w:sz w:val="20"/>
        </w:rPr>
      </w:pPr>
      <w:bookmarkStart w:name="36. I verily believe that the following " w:id="69"/>
      <w:bookmarkEnd w:id="69"/>
      <w:r>
        <w:rPr/>
      </w:r>
      <w:bookmarkStart w:name="36. I verily believe that the following " w:id="70"/>
      <w:bookmarkEnd w:id="70"/>
      <w:r>
        <w:rPr>
          <w:sz w:val="20"/>
        </w:rPr>
        <w:t>I</w:t>
      </w:r>
      <w:r>
        <w:rPr>
          <w:spacing w:val="-5"/>
          <w:sz w:val="20"/>
        </w:rPr>
        <w:t> </w:t>
      </w:r>
      <w:r>
        <w:rPr>
          <w:sz w:val="20"/>
        </w:rPr>
        <w:t>verily</w:t>
      </w:r>
      <w:r>
        <w:rPr>
          <w:spacing w:val="-3"/>
          <w:sz w:val="20"/>
        </w:rPr>
        <w:t> </w:t>
      </w:r>
      <w:r>
        <w:rPr>
          <w:sz w:val="20"/>
        </w:rPr>
        <w:t>believe</w:t>
      </w:r>
      <w:r>
        <w:rPr>
          <w:spacing w:val="-4"/>
          <w:sz w:val="20"/>
        </w:rPr>
        <w:t> </w:t>
      </w:r>
      <w:r>
        <w:rPr>
          <w:sz w:val="20"/>
        </w:rPr>
        <w:t>that</w:t>
      </w:r>
      <w:r>
        <w:rPr>
          <w:spacing w:val="-4"/>
          <w:sz w:val="20"/>
        </w:rPr>
        <w:t> </w:t>
      </w:r>
      <w:r>
        <w:rPr>
          <w:sz w:val="20"/>
        </w:rPr>
        <w:t>the</w:t>
      </w:r>
      <w:r>
        <w:rPr>
          <w:spacing w:val="-4"/>
          <w:sz w:val="20"/>
        </w:rPr>
        <w:t> </w:t>
      </w:r>
      <w:r>
        <w:rPr>
          <w:sz w:val="20"/>
        </w:rPr>
        <w:t>following</w:t>
      </w:r>
      <w:r>
        <w:rPr>
          <w:spacing w:val="-4"/>
          <w:sz w:val="20"/>
        </w:rPr>
        <w:t> </w:t>
      </w:r>
      <w:r>
        <w:rPr>
          <w:sz w:val="20"/>
        </w:rPr>
        <w:t>actions</w:t>
      </w:r>
      <w:r>
        <w:rPr>
          <w:spacing w:val="-4"/>
          <w:sz w:val="20"/>
        </w:rPr>
        <w:t> </w:t>
      </w:r>
      <w:r>
        <w:rPr>
          <w:sz w:val="20"/>
        </w:rPr>
        <w:t>of</w:t>
      </w:r>
      <w:r>
        <w:rPr>
          <w:spacing w:val="-5"/>
          <w:sz w:val="20"/>
        </w:rPr>
        <w:t> </w:t>
      </w:r>
      <w:r>
        <w:rPr>
          <w:sz w:val="20"/>
        </w:rPr>
        <w:t>Varma,</w:t>
      </w:r>
      <w:r>
        <w:rPr>
          <w:spacing w:val="-6"/>
          <w:sz w:val="20"/>
        </w:rPr>
        <w:t> </w:t>
      </w:r>
      <w:r>
        <w:rPr>
          <w:sz w:val="20"/>
        </w:rPr>
        <w:t>as</w:t>
      </w:r>
      <w:r>
        <w:rPr>
          <w:spacing w:val="-4"/>
          <w:sz w:val="20"/>
        </w:rPr>
        <w:t> </w:t>
      </w:r>
      <w:r>
        <w:rPr>
          <w:sz w:val="20"/>
        </w:rPr>
        <w:t>a</w:t>
      </w:r>
      <w:r>
        <w:rPr>
          <w:spacing w:val="-4"/>
          <w:sz w:val="20"/>
        </w:rPr>
        <w:t> </w:t>
      </w:r>
      <w:r>
        <w:rPr>
          <w:sz w:val="20"/>
        </w:rPr>
        <w:t>director</w:t>
      </w:r>
      <w:r>
        <w:rPr>
          <w:spacing w:val="-4"/>
          <w:sz w:val="20"/>
        </w:rPr>
        <w:t> </w:t>
      </w:r>
      <w:r>
        <w:rPr>
          <w:sz w:val="20"/>
        </w:rPr>
        <w:t>of</w:t>
      </w:r>
      <w:r>
        <w:rPr>
          <w:spacing w:val="-5"/>
          <w:sz w:val="20"/>
        </w:rPr>
        <w:t> </w:t>
      </w:r>
      <w:r>
        <w:rPr>
          <w:sz w:val="20"/>
        </w:rPr>
        <w:t>KRN,</w:t>
      </w:r>
      <w:r>
        <w:rPr>
          <w:spacing w:val="-5"/>
          <w:sz w:val="20"/>
        </w:rPr>
        <w:t> </w:t>
      </w:r>
      <w:r>
        <w:rPr>
          <w:sz w:val="20"/>
        </w:rPr>
        <w:t>prove</w:t>
      </w:r>
      <w:r>
        <w:rPr>
          <w:spacing w:val="-4"/>
          <w:sz w:val="20"/>
        </w:rPr>
        <w:t> </w:t>
      </w:r>
      <w:r>
        <w:rPr>
          <w:sz w:val="20"/>
        </w:rPr>
        <w:t>he</w:t>
      </w:r>
      <w:r>
        <w:rPr>
          <w:spacing w:val="-3"/>
          <w:sz w:val="20"/>
        </w:rPr>
        <w:t> </w:t>
      </w:r>
      <w:r>
        <w:rPr>
          <w:sz w:val="20"/>
        </w:rPr>
        <w:t>is</w:t>
      </w:r>
      <w:r>
        <w:rPr>
          <w:spacing w:val="-5"/>
          <w:sz w:val="20"/>
        </w:rPr>
        <w:t> </w:t>
      </w:r>
      <w:r>
        <w:rPr>
          <w:sz w:val="20"/>
        </w:rPr>
        <w:t>not</w:t>
      </w:r>
      <w:r>
        <w:rPr>
          <w:spacing w:val="-5"/>
          <w:sz w:val="20"/>
        </w:rPr>
        <w:t> </w:t>
      </w:r>
      <w:r>
        <w:rPr>
          <w:sz w:val="20"/>
        </w:rPr>
        <w:t>exercising independent judgement, is acting only in the best interests of GSFC, and is not acting in the best interest of all shareholders of</w:t>
      </w:r>
      <w:r>
        <w:rPr>
          <w:spacing w:val="-6"/>
          <w:sz w:val="20"/>
        </w:rPr>
        <w:t> </w:t>
      </w:r>
      <w:r>
        <w:rPr>
          <w:sz w:val="20"/>
        </w:rPr>
        <w:t>Karnalyte:</w:t>
      </w:r>
    </w:p>
    <w:p>
      <w:pPr>
        <w:pStyle w:val="BodyText"/>
        <w:rPr>
          <w:sz w:val="21"/>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r>
        <w:rPr>
          <w:sz w:val="20"/>
        </w:rPr>
        <w:t>taking steps to ensure GSFC retains control of the KRN</w:t>
      </w:r>
      <w:r>
        <w:rPr>
          <w:spacing w:val="-10"/>
          <w:sz w:val="20"/>
        </w:rPr>
        <w:t> </w:t>
      </w:r>
      <w:r>
        <w:rPr>
          <w:sz w:val="20"/>
        </w:rPr>
        <w:t>Board;</w:t>
      </w:r>
    </w:p>
    <w:p>
      <w:pPr>
        <w:pStyle w:val="BodyText"/>
        <w:rPr>
          <w:sz w:val="24"/>
        </w:rPr>
      </w:pPr>
    </w:p>
    <w:p>
      <w:pPr>
        <w:pStyle w:val="ListParagraph"/>
        <w:numPr>
          <w:ilvl w:val="1"/>
          <w:numId w:val="1"/>
        </w:numPr>
        <w:tabs>
          <w:tab w:pos="1559" w:val="left" w:leader="none"/>
          <w:tab w:pos="1560" w:val="left" w:leader="none"/>
        </w:tabs>
        <w:spacing w:line="350" w:lineRule="auto" w:before="182" w:after="0"/>
        <w:ind w:left="1559" w:right="1157" w:hanging="721"/>
        <w:jc w:val="both"/>
        <w:rPr>
          <w:rFonts w:ascii="Symbol" w:hAnsi="Symbol"/>
          <w:sz w:val="20"/>
        </w:rPr>
      </w:pPr>
      <w:r>
        <w:rPr>
          <w:sz w:val="20"/>
        </w:rPr>
        <w:t>rejecting out of hand four (4) qualified candidates to act as independent directors of KRN, when there were three (3) vacancies on the KRN</w:t>
      </w:r>
      <w:r>
        <w:rPr>
          <w:spacing w:val="-12"/>
          <w:sz w:val="20"/>
        </w:rPr>
        <w:t> </w:t>
      </w:r>
      <w:r>
        <w:rPr>
          <w:sz w:val="20"/>
        </w:rPr>
        <w:t>Board;</w:t>
      </w:r>
    </w:p>
    <w:p>
      <w:pPr>
        <w:pStyle w:val="BodyText"/>
        <w:spacing w:before="10"/>
      </w:pPr>
    </w:p>
    <w:p>
      <w:pPr>
        <w:pStyle w:val="ListParagraph"/>
        <w:numPr>
          <w:ilvl w:val="1"/>
          <w:numId w:val="1"/>
        </w:numPr>
        <w:tabs>
          <w:tab w:pos="1559" w:val="left" w:leader="none"/>
          <w:tab w:pos="1560" w:val="left" w:leader="none"/>
        </w:tabs>
        <w:spacing w:line="355" w:lineRule="auto" w:before="1" w:after="0"/>
        <w:ind w:left="1559" w:right="1157" w:hanging="721"/>
        <w:jc w:val="both"/>
        <w:rPr>
          <w:rFonts w:ascii="Symbol" w:hAnsi="Symbol"/>
          <w:sz w:val="20"/>
        </w:rPr>
      </w:pPr>
      <w:r>
        <w:rPr>
          <w:sz w:val="20"/>
        </w:rPr>
        <w:t>telling the KRN Board that he would have to seek instructions from the GSFC MD on whether</w:t>
      </w:r>
      <w:r>
        <w:rPr>
          <w:spacing w:val="-12"/>
          <w:sz w:val="20"/>
        </w:rPr>
        <w:t> </w:t>
      </w:r>
      <w:r>
        <w:rPr>
          <w:sz w:val="20"/>
        </w:rPr>
        <w:t>he</w:t>
      </w:r>
      <w:r>
        <w:rPr>
          <w:spacing w:val="-12"/>
          <w:sz w:val="20"/>
        </w:rPr>
        <w:t> </w:t>
      </w:r>
      <w:r>
        <w:rPr>
          <w:sz w:val="20"/>
        </w:rPr>
        <w:t>could</w:t>
      </w:r>
      <w:r>
        <w:rPr>
          <w:spacing w:val="-11"/>
          <w:sz w:val="20"/>
        </w:rPr>
        <w:t> </w:t>
      </w:r>
      <w:r>
        <w:rPr>
          <w:sz w:val="20"/>
        </w:rPr>
        <w:t>vote</w:t>
      </w:r>
      <w:r>
        <w:rPr>
          <w:spacing w:val="-11"/>
          <w:sz w:val="20"/>
        </w:rPr>
        <w:t> </w:t>
      </w:r>
      <w:r>
        <w:rPr>
          <w:sz w:val="20"/>
        </w:rPr>
        <w:t>to</w:t>
      </w:r>
      <w:r>
        <w:rPr>
          <w:spacing w:val="-11"/>
          <w:sz w:val="20"/>
        </w:rPr>
        <w:t> </w:t>
      </w:r>
      <w:r>
        <w:rPr>
          <w:sz w:val="20"/>
        </w:rPr>
        <w:t>approve</w:t>
      </w:r>
      <w:r>
        <w:rPr>
          <w:spacing w:val="-11"/>
          <w:sz w:val="20"/>
        </w:rPr>
        <w:t> </w:t>
      </w:r>
      <w:r>
        <w:rPr>
          <w:sz w:val="20"/>
        </w:rPr>
        <w:t>the</w:t>
      </w:r>
      <w:r>
        <w:rPr>
          <w:spacing w:val="-11"/>
          <w:sz w:val="20"/>
        </w:rPr>
        <w:t> </w:t>
      </w:r>
      <w:r>
        <w:rPr>
          <w:sz w:val="20"/>
        </w:rPr>
        <w:t>granting</w:t>
      </w:r>
      <w:r>
        <w:rPr>
          <w:spacing w:val="-11"/>
          <w:sz w:val="20"/>
        </w:rPr>
        <w:t> </w:t>
      </w:r>
      <w:r>
        <w:rPr>
          <w:sz w:val="20"/>
        </w:rPr>
        <w:t>of</w:t>
      </w:r>
      <w:r>
        <w:rPr>
          <w:spacing w:val="-13"/>
          <w:sz w:val="20"/>
        </w:rPr>
        <w:t> </w:t>
      </w:r>
      <w:r>
        <w:rPr>
          <w:sz w:val="20"/>
        </w:rPr>
        <w:t>stock</w:t>
      </w:r>
      <w:r>
        <w:rPr>
          <w:spacing w:val="-11"/>
          <w:sz w:val="20"/>
        </w:rPr>
        <w:t> </w:t>
      </w:r>
      <w:r>
        <w:rPr>
          <w:sz w:val="20"/>
        </w:rPr>
        <w:t>options</w:t>
      </w:r>
      <w:r>
        <w:rPr>
          <w:spacing w:val="-11"/>
          <w:sz w:val="20"/>
        </w:rPr>
        <w:t> </w:t>
      </w:r>
      <w:r>
        <w:rPr>
          <w:sz w:val="20"/>
        </w:rPr>
        <w:t>by</w:t>
      </w:r>
      <w:r>
        <w:rPr>
          <w:spacing w:val="-11"/>
          <w:sz w:val="20"/>
        </w:rPr>
        <w:t> </w:t>
      </w:r>
      <w:r>
        <w:rPr>
          <w:sz w:val="20"/>
        </w:rPr>
        <w:t>the</w:t>
      </w:r>
      <w:r>
        <w:rPr>
          <w:spacing w:val="-11"/>
          <w:sz w:val="20"/>
        </w:rPr>
        <w:t> </w:t>
      </w:r>
      <w:r>
        <w:rPr>
          <w:sz w:val="20"/>
        </w:rPr>
        <w:t>KRN</w:t>
      </w:r>
      <w:r>
        <w:rPr>
          <w:spacing w:val="-11"/>
          <w:sz w:val="20"/>
        </w:rPr>
        <w:t> </w:t>
      </w:r>
      <w:r>
        <w:rPr>
          <w:sz w:val="20"/>
        </w:rPr>
        <w:t>Board,</w:t>
      </w:r>
      <w:r>
        <w:rPr>
          <w:spacing w:val="-12"/>
          <w:sz w:val="20"/>
        </w:rPr>
        <w:t> </w:t>
      </w:r>
      <w:r>
        <w:rPr>
          <w:sz w:val="20"/>
        </w:rPr>
        <w:t>a</w:t>
      </w:r>
      <w:r>
        <w:rPr>
          <w:spacing w:val="-11"/>
          <w:sz w:val="20"/>
        </w:rPr>
        <w:t> </w:t>
      </w:r>
      <w:r>
        <w:rPr>
          <w:sz w:val="20"/>
        </w:rPr>
        <w:t>routine matter;</w:t>
      </w:r>
    </w:p>
    <w:p>
      <w:pPr>
        <w:pStyle w:val="BodyText"/>
        <w:spacing w:before="4"/>
      </w:pPr>
    </w:p>
    <w:p>
      <w:pPr>
        <w:pStyle w:val="ListParagraph"/>
        <w:numPr>
          <w:ilvl w:val="1"/>
          <w:numId w:val="1"/>
        </w:numPr>
        <w:tabs>
          <w:tab w:pos="1559" w:val="left" w:leader="none"/>
          <w:tab w:pos="1560" w:val="left" w:leader="none"/>
        </w:tabs>
        <w:spacing w:line="350" w:lineRule="auto" w:before="1" w:after="0"/>
        <w:ind w:left="1559" w:right="1156" w:hanging="721"/>
        <w:jc w:val="both"/>
        <w:rPr>
          <w:rFonts w:ascii="Symbol" w:hAnsi="Symbol"/>
          <w:sz w:val="20"/>
        </w:rPr>
      </w:pPr>
      <w:r>
        <w:rPr>
          <w:sz w:val="20"/>
        </w:rPr>
        <w:t>inviting his boss, the GSFC MD, to sit in on, and be an active participant in, the meeting where the terms and condition of hiring me as the CEO of KRN were</w:t>
      </w:r>
      <w:r>
        <w:rPr>
          <w:spacing w:val="-21"/>
          <w:sz w:val="20"/>
        </w:rPr>
        <w:t> </w:t>
      </w:r>
      <w:r>
        <w:rPr>
          <w:sz w:val="20"/>
        </w:rPr>
        <w:t>negotiated;</w:t>
      </w:r>
    </w:p>
    <w:p>
      <w:pPr>
        <w:pStyle w:val="BodyText"/>
        <w:spacing w:before="10"/>
      </w:pPr>
    </w:p>
    <w:p>
      <w:pPr>
        <w:pStyle w:val="ListParagraph"/>
        <w:numPr>
          <w:ilvl w:val="1"/>
          <w:numId w:val="1"/>
        </w:numPr>
        <w:tabs>
          <w:tab w:pos="1559" w:val="left" w:leader="none"/>
          <w:tab w:pos="1561" w:val="left" w:leader="none"/>
        </w:tabs>
        <w:spacing w:line="350" w:lineRule="auto" w:before="0" w:after="0"/>
        <w:ind w:left="1559" w:right="1158" w:hanging="720"/>
        <w:jc w:val="both"/>
        <w:rPr>
          <w:rFonts w:ascii="Symbol" w:hAnsi="Symbol"/>
          <w:sz w:val="20"/>
        </w:rPr>
      </w:pPr>
      <w:r>
        <w:rPr>
          <w:sz w:val="20"/>
        </w:rPr>
        <w:t>having</w:t>
      </w:r>
      <w:r>
        <w:rPr>
          <w:spacing w:val="-13"/>
          <w:sz w:val="20"/>
        </w:rPr>
        <w:t> </w:t>
      </w:r>
      <w:r>
        <w:rPr>
          <w:sz w:val="20"/>
        </w:rPr>
        <w:t>the</w:t>
      </w:r>
      <w:r>
        <w:rPr>
          <w:spacing w:val="-13"/>
          <w:sz w:val="20"/>
        </w:rPr>
        <w:t> </w:t>
      </w:r>
      <w:r>
        <w:rPr>
          <w:sz w:val="20"/>
        </w:rPr>
        <w:t>GSFC</w:t>
      </w:r>
      <w:r>
        <w:rPr>
          <w:spacing w:val="-12"/>
          <w:sz w:val="20"/>
        </w:rPr>
        <w:t> </w:t>
      </w:r>
      <w:r>
        <w:rPr>
          <w:sz w:val="20"/>
        </w:rPr>
        <w:t>MD</w:t>
      </w:r>
      <w:r>
        <w:rPr>
          <w:spacing w:val="-13"/>
          <w:sz w:val="20"/>
        </w:rPr>
        <w:t> </w:t>
      </w:r>
      <w:r>
        <w:rPr>
          <w:sz w:val="20"/>
        </w:rPr>
        <w:t>ask</w:t>
      </w:r>
      <w:r>
        <w:rPr>
          <w:spacing w:val="-12"/>
          <w:sz w:val="20"/>
        </w:rPr>
        <w:t> </w:t>
      </w:r>
      <w:r>
        <w:rPr>
          <w:sz w:val="20"/>
        </w:rPr>
        <w:t>to</w:t>
      </w:r>
      <w:r>
        <w:rPr>
          <w:spacing w:val="-13"/>
          <w:sz w:val="20"/>
        </w:rPr>
        <w:t> </w:t>
      </w:r>
      <w:r>
        <w:rPr>
          <w:sz w:val="20"/>
        </w:rPr>
        <w:t>sign</w:t>
      </w:r>
      <w:r>
        <w:rPr>
          <w:spacing w:val="-12"/>
          <w:sz w:val="20"/>
        </w:rPr>
        <w:t> </w:t>
      </w:r>
      <w:r>
        <w:rPr>
          <w:sz w:val="20"/>
        </w:rPr>
        <w:t>the</w:t>
      </w:r>
      <w:r>
        <w:rPr>
          <w:spacing w:val="-13"/>
          <w:sz w:val="20"/>
        </w:rPr>
        <w:t> </w:t>
      </w:r>
      <w:r>
        <w:rPr>
          <w:sz w:val="20"/>
        </w:rPr>
        <w:t>term</w:t>
      </w:r>
      <w:r>
        <w:rPr>
          <w:spacing w:val="-13"/>
          <w:sz w:val="20"/>
        </w:rPr>
        <w:t> </w:t>
      </w:r>
      <w:r>
        <w:rPr>
          <w:sz w:val="20"/>
        </w:rPr>
        <w:t>sheet/offer</w:t>
      </w:r>
      <w:r>
        <w:rPr>
          <w:spacing w:val="-14"/>
          <w:sz w:val="20"/>
        </w:rPr>
        <w:t> </w:t>
      </w:r>
      <w:r>
        <w:rPr>
          <w:sz w:val="20"/>
        </w:rPr>
        <w:t>letter</w:t>
      </w:r>
      <w:r>
        <w:rPr>
          <w:spacing w:val="-12"/>
          <w:sz w:val="20"/>
        </w:rPr>
        <w:t> </w:t>
      </w:r>
      <w:r>
        <w:rPr>
          <w:sz w:val="20"/>
        </w:rPr>
        <w:t>(the</w:t>
      </w:r>
      <w:r>
        <w:rPr>
          <w:spacing w:val="-13"/>
          <w:sz w:val="20"/>
        </w:rPr>
        <w:t> </w:t>
      </w:r>
      <w:r>
        <w:rPr>
          <w:sz w:val="20"/>
        </w:rPr>
        <w:t>“</w:t>
      </w:r>
      <w:r>
        <w:rPr>
          <w:b/>
          <w:sz w:val="20"/>
        </w:rPr>
        <w:t>CEO</w:t>
      </w:r>
      <w:r>
        <w:rPr>
          <w:b/>
          <w:spacing w:val="-12"/>
          <w:sz w:val="20"/>
        </w:rPr>
        <w:t> </w:t>
      </w:r>
      <w:r>
        <w:rPr>
          <w:b/>
          <w:sz w:val="20"/>
        </w:rPr>
        <w:t>Offer</w:t>
      </w:r>
      <w:r>
        <w:rPr>
          <w:b/>
          <w:spacing w:val="-14"/>
          <w:sz w:val="20"/>
        </w:rPr>
        <w:t> </w:t>
      </w:r>
      <w:r>
        <w:rPr>
          <w:b/>
          <w:sz w:val="20"/>
        </w:rPr>
        <w:t>Letter</w:t>
      </w:r>
      <w:r>
        <w:rPr>
          <w:sz w:val="20"/>
        </w:rPr>
        <w:t>”)</w:t>
      </w:r>
      <w:r>
        <w:rPr>
          <w:spacing w:val="-12"/>
          <w:sz w:val="20"/>
        </w:rPr>
        <w:t> </w:t>
      </w:r>
      <w:r>
        <w:rPr>
          <w:sz w:val="20"/>
        </w:rPr>
        <w:t>setting out the final terms and conditions of hiring me as the CEO of</w:t>
      </w:r>
      <w:r>
        <w:rPr>
          <w:spacing w:val="-15"/>
          <w:sz w:val="20"/>
        </w:rPr>
        <w:t> </w:t>
      </w:r>
      <w:r>
        <w:rPr>
          <w:sz w:val="20"/>
        </w:rPr>
        <w:t>KRN;</w:t>
      </w:r>
    </w:p>
    <w:p>
      <w:pPr>
        <w:pStyle w:val="BodyText"/>
        <w:spacing w:before="10"/>
      </w:pPr>
    </w:p>
    <w:p>
      <w:pPr>
        <w:pStyle w:val="ListParagraph"/>
        <w:numPr>
          <w:ilvl w:val="1"/>
          <w:numId w:val="1"/>
        </w:numPr>
        <w:tabs>
          <w:tab w:pos="1559" w:val="left" w:leader="none"/>
          <w:tab w:pos="1560" w:val="left" w:leader="none"/>
        </w:tabs>
        <w:spacing w:line="350" w:lineRule="auto" w:before="0" w:after="0"/>
        <w:ind w:left="1559" w:right="1527" w:hanging="721"/>
        <w:jc w:val="left"/>
        <w:rPr>
          <w:rFonts w:ascii="Symbol" w:hAnsi="Symbol"/>
          <w:sz w:val="20"/>
        </w:rPr>
      </w:pPr>
      <w:r>
        <w:rPr>
          <w:sz w:val="20"/>
        </w:rPr>
        <w:t>proposing Anjaria be appointed as the third GSFC Nominee on the KRN Board, when GSFC Nominees already held two (2) of three (3) seats on the KRN</w:t>
      </w:r>
      <w:r>
        <w:rPr>
          <w:spacing w:val="-16"/>
          <w:sz w:val="20"/>
        </w:rPr>
        <w:t> </w:t>
      </w:r>
      <w:r>
        <w:rPr>
          <w:sz w:val="20"/>
        </w:rPr>
        <w:t>Board;</w:t>
      </w:r>
    </w:p>
    <w:p>
      <w:pPr>
        <w:pStyle w:val="BodyText"/>
        <w:spacing w:before="11"/>
      </w:pPr>
    </w:p>
    <w:p>
      <w:pPr>
        <w:pStyle w:val="ListParagraph"/>
        <w:numPr>
          <w:ilvl w:val="1"/>
          <w:numId w:val="1"/>
        </w:numPr>
        <w:tabs>
          <w:tab w:pos="1559" w:val="left" w:leader="none"/>
          <w:tab w:pos="1560" w:val="left" w:leader="none"/>
        </w:tabs>
        <w:spacing w:line="350" w:lineRule="auto" w:before="0" w:after="0"/>
        <w:ind w:left="1559" w:right="1158" w:hanging="720"/>
        <w:jc w:val="left"/>
        <w:rPr>
          <w:rFonts w:ascii="Symbol" w:hAnsi="Symbol"/>
          <w:sz w:val="20"/>
        </w:rPr>
      </w:pPr>
      <w:r>
        <w:rPr>
          <w:sz w:val="20"/>
        </w:rPr>
        <w:t>not taking the advice of KRN’s Canadian management, Canadian members of the KRN Board, or other participants in the Saskatchewan agricultural industry;</w:t>
      </w:r>
      <w:r>
        <w:rPr>
          <w:spacing w:val="-12"/>
          <w:sz w:val="20"/>
        </w:rPr>
        <w:t> </w:t>
      </w:r>
      <w:r>
        <w:rPr>
          <w:sz w:val="20"/>
        </w:rPr>
        <w:t>and</w:t>
      </w:r>
    </w:p>
    <w:p>
      <w:pPr>
        <w:pStyle w:val="BodyText"/>
        <w:spacing w:before="9"/>
        <w:rPr>
          <w:sz w:val="30"/>
        </w:rPr>
      </w:pPr>
    </w:p>
    <w:p>
      <w:pPr>
        <w:pStyle w:val="ListParagraph"/>
        <w:numPr>
          <w:ilvl w:val="1"/>
          <w:numId w:val="1"/>
        </w:numPr>
        <w:tabs>
          <w:tab w:pos="1559" w:val="left" w:leader="none"/>
          <w:tab w:pos="1560" w:val="left" w:leader="none"/>
        </w:tabs>
        <w:spacing w:line="350" w:lineRule="auto" w:before="0" w:after="0"/>
        <w:ind w:left="1559" w:right="1157" w:hanging="720"/>
        <w:jc w:val="left"/>
        <w:rPr>
          <w:rFonts w:ascii="Symbol" w:hAnsi="Symbol"/>
          <w:sz w:val="20"/>
        </w:rPr>
      </w:pPr>
      <w:r>
        <w:rPr>
          <w:sz w:val="20"/>
        </w:rPr>
        <w:t>treating KRN like his private company and trying to conduct business in Canada the way he conducts business in</w:t>
      </w:r>
      <w:r>
        <w:rPr>
          <w:spacing w:val="-4"/>
          <w:sz w:val="20"/>
        </w:rPr>
        <w:t> </w:t>
      </w:r>
      <w:r>
        <w:rPr>
          <w:sz w:val="20"/>
        </w:rPr>
        <w:t>India.</w:t>
      </w:r>
    </w:p>
    <w:p>
      <w:pPr>
        <w:pStyle w:val="BodyText"/>
        <w:spacing w:before="8"/>
        <w:rPr>
          <w:sz w:val="21"/>
        </w:rPr>
      </w:pPr>
    </w:p>
    <w:p>
      <w:pPr>
        <w:pStyle w:val="Heading1"/>
        <w:numPr>
          <w:ilvl w:val="0"/>
          <w:numId w:val="3"/>
        </w:numPr>
        <w:tabs>
          <w:tab w:pos="1559" w:val="left" w:leader="none"/>
          <w:tab w:pos="1560" w:val="left" w:leader="none"/>
        </w:tabs>
        <w:spacing w:line="240" w:lineRule="auto" w:before="1" w:after="0"/>
        <w:ind w:left="1559" w:right="0" w:hanging="721"/>
        <w:jc w:val="left"/>
      </w:pPr>
      <w:bookmarkStart w:name="ii) Nanavaty’s Actions" w:id="71"/>
      <w:bookmarkEnd w:id="71"/>
      <w:r>
        <w:rPr>
          <w:b w:val="0"/>
        </w:rPr>
      </w:r>
      <w:bookmarkStart w:name="ii) Nanavaty’s Actions" w:id="72"/>
      <w:bookmarkEnd w:id="72"/>
      <w:r>
        <w:rPr/>
        <w:t>N</w:t>
      </w:r>
      <w:r>
        <w:rPr/>
        <w:t>anavaty’s</w:t>
      </w:r>
      <w:r>
        <w:rPr>
          <w:spacing w:val="-3"/>
        </w:rPr>
        <w:t> </w:t>
      </w:r>
      <w:r>
        <w:rPr/>
        <w:t>Actions</w:t>
      </w:r>
    </w:p>
    <w:p>
      <w:pPr>
        <w:pStyle w:val="BodyText"/>
        <w:spacing w:before="9"/>
        <w:rPr>
          <w:b/>
          <w:sz w:val="30"/>
        </w:rPr>
      </w:pPr>
    </w:p>
    <w:p>
      <w:pPr>
        <w:pStyle w:val="ListParagraph"/>
        <w:numPr>
          <w:ilvl w:val="0"/>
          <w:numId w:val="1"/>
        </w:numPr>
        <w:tabs>
          <w:tab w:pos="840" w:val="left" w:leader="none"/>
        </w:tabs>
        <w:spacing w:line="360" w:lineRule="auto" w:before="0" w:after="0"/>
        <w:ind w:left="839" w:right="1156" w:hanging="721"/>
        <w:jc w:val="both"/>
        <w:rPr>
          <w:sz w:val="20"/>
        </w:rPr>
      </w:pPr>
      <w:bookmarkStart w:name="37. I verily believe Nanavaty is not exe" w:id="73"/>
      <w:bookmarkEnd w:id="73"/>
      <w:r>
        <w:rPr/>
      </w:r>
      <w:bookmarkStart w:name="37. I verily believe Nanavaty is not exe" w:id="74"/>
      <w:bookmarkEnd w:id="74"/>
      <w:r>
        <w:rPr>
          <w:sz w:val="20"/>
        </w:rPr>
        <w:t>I</w:t>
      </w:r>
      <w:r>
        <w:rPr>
          <w:sz w:val="20"/>
        </w:rPr>
        <w:t> verily believe Nanavaty is not exercising independent judgement, and is not acting in the best interest of all shareholders, because he always follows Varma and always does whatever Varma says and</w:t>
      </w:r>
      <w:r>
        <w:rPr>
          <w:spacing w:val="-2"/>
          <w:sz w:val="20"/>
        </w:rPr>
        <w:t> </w:t>
      </w:r>
      <w:r>
        <w:rPr>
          <w:sz w:val="20"/>
        </w:rPr>
        <w:t>does.</w:t>
      </w:r>
    </w:p>
    <w:p>
      <w:pPr>
        <w:spacing w:after="0" w:line="360" w:lineRule="auto"/>
        <w:jc w:val="both"/>
        <w:rPr>
          <w:sz w:val="20"/>
        </w:rPr>
        <w:sectPr>
          <w:pgSz w:w="12240" w:h="15840"/>
          <w:pgMar w:header="0" w:footer="1259" w:top="1220" w:bottom="1440" w:left="1320" w:right="280"/>
        </w:sectPr>
      </w:pPr>
    </w:p>
    <w:p>
      <w:pPr>
        <w:pStyle w:val="Heading1"/>
        <w:numPr>
          <w:ilvl w:val="0"/>
          <w:numId w:val="3"/>
        </w:numPr>
        <w:tabs>
          <w:tab w:pos="1559" w:val="left" w:leader="none"/>
          <w:tab w:pos="1561" w:val="left" w:leader="none"/>
        </w:tabs>
        <w:spacing w:line="240" w:lineRule="auto" w:before="75" w:after="0"/>
        <w:ind w:left="1560" w:right="0" w:hanging="721"/>
        <w:jc w:val="left"/>
      </w:pPr>
      <w:r>
        <w:rPr/>
        <w:pict>
          <v:group style="position:absolute;margin-left:475.589996pt;margin-top:730.852173pt;width:115.15pt;height:50.9pt;mso-position-horizontal-relative:page;mso-position-vertical-relative:page;z-index:251676672" coordorigin="9512,14617" coordsize="2303,1018">
            <v:shape style="position:absolute;left:10952;top:14758;width:863;height:876" type="#_x0000_t75" stroked="false">
              <v:imagedata r:id="rId9" o:title=""/>
            </v:shape>
            <v:shape style="position:absolute;left:9511;top:14617;width:1381;height:876" type="#_x0000_t75" stroked="false">
              <v:imagedata r:id="rId10" o:title=""/>
            </v:shape>
            <w10:wrap type="none"/>
          </v:group>
        </w:pict>
      </w:r>
      <w:bookmarkStart w:name="iii) Anjaria’s Actions" w:id="75"/>
      <w:bookmarkEnd w:id="75"/>
      <w:r>
        <w:rPr>
          <w:b w:val="0"/>
        </w:rPr>
      </w:r>
      <w:bookmarkStart w:name="iii) Anjaria’s Actions" w:id="76"/>
      <w:bookmarkEnd w:id="76"/>
      <w:r>
        <w:rPr/>
        <w:t>A</w:t>
      </w:r>
      <w:r>
        <w:rPr/>
        <w:t>njaria’s</w:t>
      </w:r>
      <w:r>
        <w:rPr>
          <w:spacing w:val="-2"/>
        </w:rPr>
        <w:t> </w:t>
      </w:r>
      <w:r>
        <w:rPr/>
        <w:t>Actions</w:t>
      </w:r>
    </w:p>
    <w:p>
      <w:pPr>
        <w:pStyle w:val="BodyText"/>
        <w:spacing w:before="10"/>
        <w:rPr>
          <w:b/>
          <w:sz w:val="30"/>
        </w:rPr>
      </w:pPr>
    </w:p>
    <w:p>
      <w:pPr>
        <w:pStyle w:val="ListParagraph"/>
        <w:numPr>
          <w:ilvl w:val="0"/>
          <w:numId w:val="1"/>
        </w:numPr>
        <w:tabs>
          <w:tab w:pos="841" w:val="left" w:leader="none"/>
        </w:tabs>
        <w:spacing w:line="360" w:lineRule="auto" w:before="0" w:after="0"/>
        <w:ind w:left="840" w:right="1155" w:hanging="721"/>
        <w:jc w:val="both"/>
        <w:rPr>
          <w:sz w:val="20"/>
        </w:rPr>
      </w:pPr>
      <w:bookmarkStart w:name="38. I verily believe that the following " w:id="77"/>
      <w:bookmarkEnd w:id="77"/>
      <w:r>
        <w:rPr/>
      </w:r>
      <w:bookmarkStart w:name="38. I verily believe that the following " w:id="78"/>
      <w:bookmarkEnd w:id="78"/>
      <w:r>
        <w:rPr>
          <w:sz w:val="20"/>
        </w:rPr>
        <w:t>I</w:t>
      </w:r>
      <w:r>
        <w:rPr>
          <w:spacing w:val="-7"/>
          <w:sz w:val="20"/>
        </w:rPr>
        <w:t> </w:t>
      </w:r>
      <w:r>
        <w:rPr>
          <w:sz w:val="20"/>
        </w:rPr>
        <w:t>verily</w:t>
      </w:r>
      <w:r>
        <w:rPr>
          <w:spacing w:val="-5"/>
          <w:sz w:val="20"/>
        </w:rPr>
        <w:t> </w:t>
      </w:r>
      <w:r>
        <w:rPr>
          <w:sz w:val="20"/>
        </w:rPr>
        <w:t>believe</w:t>
      </w:r>
      <w:r>
        <w:rPr>
          <w:spacing w:val="-5"/>
          <w:sz w:val="20"/>
        </w:rPr>
        <w:t> </w:t>
      </w:r>
      <w:r>
        <w:rPr>
          <w:sz w:val="20"/>
        </w:rPr>
        <w:t>that</w:t>
      </w:r>
      <w:r>
        <w:rPr>
          <w:spacing w:val="-7"/>
          <w:sz w:val="20"/>
        </w:rPr>
        <w:t> </w:t>
      </w:r>
      <w:r>
        <w:rPr>
          <w:sz w:val="20"/>
        </w:rPr>
        <w:t>the</w:t>
      </w:r>
      <w:r>
        <w:rPr>
          <w:spacing w:val="-5"/>
          <w:sz w:val="20"/>
        </w:rPr>
        <w:t> </w:t>
      </w:r>
      <w:r>
        <w:rPr>
          <w:sz w:val="20"/>
        </w:rPr>
        <w:t>following</w:t>
      </w:r>
      <w:r>
        <w:rPr>
          <w:spacing w:val="-5"/>
          <w:sz w:val="20"/>
        </w:rPr>
        <w:t> </w:t>
      </w:r>
      <w:r>
        <w:rPr>
          <w:sz w:val="20"/>
        </w:rPr>
        <w:t>actions</w:t>
      </w:r>
      <w:r>
        <w:rPr>
          <w:spacing w:val="-7"/>
          <w:sz w:val="20"/>
        </w:rPr>
        <w:t> </w:t>
      </w:r>
      <w:r>
        <w:rPr>
          <w:sz w:val="20"/>
        </w:rPr>
        <w:t>of</w:t>
      </w:r>
      <w:r>
        <w:rPr>
          <w:spacing w:val="-6"/>
          <w:sz w:val="20"/>
        </w:rPr>
        <w:t> </w:t>
      </w:r>
      <w:r>
        <w:rPr>
          <w:sz w:val="20"/>
        </w:rPr>
        <w:t>Anjaria,</w:t>
      </w:r>
      <w:r>
        <w:rPr>
          <w:spacing w:val="-6"/>
          <w:sz w:val="20"/>
        </w:rPr>
        <w:t> </w:t>
      </w:r>
      <w:r>
        <w:rPr>
          <w:sz w:val="20"/>
        </w:rPr>
        <w:t>as</w:t>
      </w:r>
      <w:r>
        <w:rPr>
          <w:spacing w:val="-7"/>
          <w:sz w:val="20"/>
        </w:rPr>
        <w:t> </w:t>
      </w:r>
      <w:r>
        <w:rPr>
          <w:sz w:val="20"/>
        </w:rPr>
        <w:t>a</w:t>
      </w:r>
      <w:r>
        <w:rPr>
          <w:spacing w:val="-5"/>
          <w:sz w:val="20"/>
        </w:rPr>
        <w:t> </w:t>
      </w:r>
      <w:r>
        <w:rPr>
          <w:sz w:val="20"/>
        </w:rPr>
        <w:t>director</w:t>
      </w:r>
      <w:r>
        <w:rPr>
          <w:spacing w:val="-5"/>
          <w:sz w:val="20"/>
        </w:rPr>
        <w:t> </w:t>
      </w:r>
      <w:r>
        <w:rPr>
          <w:sz w:val="20"/>
        </w:rPr>
        <w:t>of</w:t>
      </w:r>
      <w:r>
        <w:rPr>
          <w:spacing w:val="-7"/>
          <w:sz w:val="20"/>
        </w:rPr>
        <w:t> </w:t>
      </w:r>
      <w:r>
        <w:rPr>
          <w:sz w:val="20"/>
        </w:rPr>
        <w:t>KRN,</w:t>
      </w:r>
      <w:r>
        <w:rPr>
          <w:spacing w:val="-6"/>
          <w:sz w:val="20"/>
        </w:rPr>
        <w:t> </w:t>
      </w:r>
      <w:r>
        <w:rPr>
          <w:sz w:val="20"/>
        </w:rPr>
        <w:t>prove</w:t>
      </w:r>
      <w:r>
        <w:rPr>
          <w:spacing w:val="-5"/>
          <w:sz w:val="20"/>
        </w:rPr>
        <w:t> </w:t>
      </w:r>
      <w:r>
        <w:rPr>
          <w:sz w:val="20"/>
        </w:rPr>
        <w:t>he</w:t>
      </w:r>
      <w:r>
        <w:rPr>
          <w:spacing w:val="-6"/>
          <w:sz w:val="20"/>
        </w:rPr>
        <w:t> </w:t>
      </w:r>
      <w:r>
        <w:rPr>
          <w:sz w:val="20"/>
        </w:rPr>
        <w:t>is</w:t>
      </w:r>
      <w:r>
        <w:rPr>
          <w:spacing w:val="-5"/>
          <w:sz w:val="20"/>
        </w:rPr>
        <w:t> </w:t>
      </w:r>
      <w:r>
        <w:rPr>
          <w:sz w:val="20"/>
        </w:rPr>
        <w:t>not</w:t>
      </w:r>
      <w:r>
        <w:rPr>
          <w:spacing w:val="-6"/>
          <w:sz w:val="20"/>
        </w:rPr>
        <w:t> </w:t>
      </w:r>
      <w:r>
        <w:rPr>
          <w:sz w:val="20"/>
        </w:rPr>
        <w:t>exercising independent judgement, is acting only in the best interests of GSFC, and is not acting in the best interest of all shareholders of</w:t>
      </w:r>
      <w:r>
        <w:rPr>
          <w:spacing w:val="-6"/>
          <w:sz w:val="20"/>
        </w:rPr>
        <w:t> </w:t>
      </w:r>
      <w:r>
        <w:rPr>
          <w:sz w:val="20"/>
        </w:rPr>
        <w:t>Karnalyte:</w:t>
      </w:r>
    </w:p>
    <w:p>
      <w:pPr>
        <w:pStyle w:val="BodyText"/>
        <w:rPr>
          <w:sz w:val="21"/>
        </w:rPr>
      </w:pPr>
    </w:p>
    <w:p>
      <w:pPr>
        <w:pStyle w:val="ListParagraph"/>
        <w:numPr>
          <w:ilvl w:val="1"/>
          <w:numId w:val="1"/>
        </w:numPr>
        <w:tabs>
          <w:tab w:pos="1560" w:val="left" w:leader="none"/>
          <w:tab w:pos="1561" w:val="left" w:leader="none"/>
        </w:tabs>
        <w:spacing w:line="355" w:lineRule="auto" w:before="0" w:after="0"/>
        <w:ind w:left="1560" w:right="1159" w:hanging="721"/>
        <w:jc w:val="both"/>
        <w:rPr>
          <w:rFonts w:ascii="Symbol" w:hAnsi="Symbol"/>
          <w:sz w:val="20"/>
        </w:rPr>
      </w:pPr>
      <w:r>
        <w:rPr>
          <w:sz w:val="20"/>
        </w:rPr>
        <w:t>insisting that he is a nominee of KRN, rather than a nominee of GSFC, when he was a director</w:t>
      </w:r>
      <w:r>
        <w:rPr>
          <w:spacing w:val="-7"/>
          <w:sz w:val="20"/>
        </w:rPr>
        <w:t> </w:t>
      </w:r>
      <w:r>
        <w:rPr>
          <w:sz w:val="20"/>
        </w:rPr>
        <w:t>of</w:t>
      </w:r>
      <w:r>
        <w:rPr>
          <w:spacing w:val="-6"/>
          <w:sz w:val="20"/>
        </w:rPr>
        <w:t> </w:t>
      </w:r>
      <w:r>
        <w:rPr>
          <w:sz w:val="20"/>
        </w:rPr>
        <w:t>GSFC,</w:t>
      </w:r>
      <w:r>
        <w:rPr>
          <w:spacing w:val="-7"/>
          <w:sz w:val="20"/>
        </w:rPr>
        <w:t> </w:t>
      </w:r>
      <w:r>
        <w:rPr>
          <w:sz w:val="20"/>
        </w:rPr>
        <w:t>and</w:t>
      </w:r>
      <w:r>
        <w:rPr>
          <w:spacing w:val="-6"/>
          <w:sz w:val="20"/>
        </w:rPr>
        <w:t> </w:t>
      </w:r>
      <w:r>
        <w:rPr>
          <w:sz w:val="20"/>
        </w:rPr>
        <w:t>when</w:t>
      </w:r>
      <w:r>
        <w:rPr>
          <w:spacing w:val="-7"/>
          <w:sz w:val="20"/>
        </w:rPr>
        <w:t> </w:t>
      </w:r>
      <w:r>
        <w:rPr>
          <w:sz w:val="20"/>
        </w:rPr>
        <w:t>the</w:t>
      </w:r>
      <w:r>
        <w:rPr>
          <w:spacing w:val="-6"/>
          <w:sz w:val="20"/>
        </w:rPr>
        <w:t> </w:t>
      </w:r>
      <w:r>
        <w:rPr>
          <w:sz w:val="20"/>
        </w:rPr>
        <w:t>GSFC</w:t>
      </w:r>
      <w:r>
        <w:rPr>
          <w:spacing w:val="-6"/>
          <w:sz w:val="20"/>
        </w:rPr>
        <w:t> </w:t>
      </w:r>
      <w:r>
        <w:rPr>
          <w:sz w:val="20"/>
        </w:rPr>
        <w:t>MD</w:t>
      </w:r>
      <w:r>
        <w:rPr>
          <w:spacing w:val="-6"/>
          <w:sz w:val="20"/>
        </w:rPr>
        <w:t> </w:t>
      </w:r>
      <w:r>
        <w:rPr>
          <w:sz w:val="20"/>
        </w:rPr>
        <w:t>and</w:t>
      </w:r>
      <w:r>
        <w:rPr>
          <w:spacing w:val="-6"/>
          <w:sz w:val="20"/>
        </w:rPr>
        <w:t> </w:t>
      </w:r>
      <w:r>
        <w:rPr>
          <w:sz w:val="20"/>
        </w:rPr>
        <w:t>Varma</w:t>
      </w:r>
      <w:r>
        <w:rPr>
          <w:spacing w:val="-6"/>
          <w:sz w:val="20"/>
        </w:rPr>
        <w:t> </w:t>
      </w:r>
      <w:r>
        <w:rPr>
          <w:sz w:val="20"/>
        </w:rPr>
        <w:t>insisted</w:t>
      </w:r>
      <w:r>
        <w:rPr>
          <w:spacing w:val="-6"/>
          <w:sz w:val="20"/>
        </w:rPr>
        <w:t> </w:t>
      </w:r>
      <w:r>
        <w:rPr>
          <w:sz w:val="20"/>
        </w:rPr>
        <w:t>that</w:t>
      </w:r>
      <w:r>
        <w:rPr>
          <w:spacing w:val="-7"/>
          <w:sz w:val="20"/>
        </w:rPr>
        <w:t> </w:t>
      </w:r>
      <w:r>
        <w:rPr>
          <w:sz w:val="20"/>
        </w:rPr>
        <w:t>he</w:t>
      </w:r>
      <w:r>
        <w:rPr>
          <w:spacing w:val="-6"/>
          <w:sz w:val="20"/>
        </w:rPr>
        <w:t> </w:t>
      </w:r>
      <w:r>
        <w:rPr>
          <w:sz w:val="20"/>
        </w:rPr>
        <w:t>be</w:t>
      </w:r>
      <w:r>
        <w:rPr>
          <w:spacing w:val="-6"/>
          <w:sz w:val="20"/>
        </w:rPr>
        <w:t> </w:t>
      </w:r>
      <w:r>
        <w:rPr>
          <w:sz w:val="20"/>
        </w:rPr>
        <w:t>appointed</w:t>
      </w:r>
      <w:r>
        <w:rPr>
          <w:spacing w:val="-7"/>
          <w:sz w:val="20"/>
        </w:rPr>
        <w:t> </w:t>
      </w:r>
      <w:r>
        <w:rPr>
          <w:sz w:val="20"/>
        </w:rPr>
        <w:t>to</w:t>
      </w:r>
      <w:r>
        <w:rPr>
          <w:spacing w:val="-6"/>
          <w:sz w:val="20"/>
        </w:rPr>
        <w:t> </w:t>
      </w:r>
      <w:r>
        <w:rPr>
          <w:sz w:val="20"/>
        </w:rPr>
        <w:t>the KRN</w:t>
      </w:r>
      <w:r>
        <w:rPr>
          <w:spacing w:val="-1"/>
          <w:sz w:val="20"/>
        </w:rPr>
        <w:t> </w:t>
      </w:r>
      <w:r>
        <w:rPr>
          <w:sz w:val="20"/>
        </w:rPr>
        <w:t>Board;</w:t>
      </w:r>
    </w:p>
    <w:p>
      <w:pPr>
        <w:pStyle w:val="BodyText"/>
        <w:spacing w:before="5"/>
        <w:rPr>
          <w:sz w:val="30"/>
        </w:rPr>
      </w:pPr>
    </w:p>
    <w:p>
      <w:pPr>
        <w:pStyle w:val="ListParagraph"/>
        <w:numPr>
          <w:ilvl w:val="1"/>
          <w:numId w:val="1"/>
        </w:numPr>
        <w:tabs>
          <w:tab w:pos="1560" w:val="left" w:leader="none"/>
          <w:tab w:pos="1561" w:val="left" w:leader="none"/>
        </w:tabs>
        <w:spacing w:line="355" w:lineRule="auto" w:before="0" w:after="0"/>
        <w:ind w:left="1560" w:right="1155" w:hanging="721"/>
        <w:jc w:val="both"/>
        <w:rPr>
          <w:rFonts w:ascii="Symbol" w:hAnsi="Symbol"/>
          <w:sz w:val="20"/>
        </w:rPr>
      </w:pPr>
      <w:r>
        <w:rPr>
          <w:sz w:val="20"/>
        </w:rPr>
        <w:t>fully supporting KRN’s corporate strategy prior to becoming a director of KRN, and then immediately after becoming a director of KRN; making a complete about face and supporting whatever Varma</w:t>
      </w:r>
      <w:r>
        <w:rPr>
          <w:spacing w:val="-3"/>
          <w:sz w:val="20"/>
        </w:rPr>
        <w:t> </w:t>
      </w:r>
      <w:r>
        <w:rPr>
          <w:sz w:val="20"/>
        </w:rPr>
        <w:t>said;</w:t>
      </w:r>
    </w:p>
    <w:p>
      <w:pPr>
        <w:pStyle w:val="BodyText"/>
        <w:spacing w:before="5"/>
      </w:pPr>
    </w:p>
    <w:p>
      <w:pPr>
        <w:pStyle w:val="ListParagraph"/>
        <w:numPr>
          <w:ilvl w:val="1"/>
          <w:numId w:val="1"/>
        </w:numPr>
        <w:tabs>
          <w:tab w:pos="1560" w:val="left" w:leader="none"/>
          <w:tab w:pos="1561" w:val="left" w:leader="none"/>
        </w:tabs>
        <w:spacing w:line="350" w:lineRule="auto" w:before="0" w:after="0"/>
        <w:ind w:left="1560" w:right="1157" w:hanging="721"/>
        <w:jc w:val="both"/>
        <w:rPr>
          <w:rFonts w:ascii="Symbol" w:hAnsi="Symbol"/>
          <w:sz w:val="20"/>
        </w:rPr>
      </w:pPr>
      <w:r>
        <w:rPr>
          <w:sz w:val="20"/>
        </w:rPr>
        <w:t>agreeing</w:t>
      </w:r>
      <w:r>
        <w:rPr>
          <w:spacing w:val="-11"/>
          <w:sz w:val="20"/>
        </w:rPr>
        <w:t> </w:t>
      </w:r>
      <w:r>
        <w:rPr>
          <w:sz w:val="20"/>
        </w:rPr>
        <w:t>with</w:t>
      </w:r>
      <w:r>
        <w:rPr>
          <w:spacing w:val="-10"/>
          <w:sz w:val="20"/>
        </w:rPr>
        <w:t> </w:t>
      </w:r>
      <w:r>
        <w:rPr>
          <w:sz w:val="20"/>
        </w:rPr>
        <w:t>Varma</w:t>
      </w:r>
      <w:r>
        <w:rPr>
          <w:spacing w:val="-10"/>
          <w:sz w:val="20"/>
        </w:rPr>
        <w:t> </w:t>
      </w:r>
      <w:r>
        <w:rPr>
          <w:sz w:val="20"/>
        </w:rPr>
        <w:t>that</w:t>
      </w:r>
      <w:r>
        <w:rPr>
          <w:spacing w:val="-10"/>
          <w:sz w:val="20"/>
        </w:rPr>
        <w:t> </w:t>
      </w:r>
      <w:r>
        <w:rPr>
          <w:sz w:val="20"/>
        </w:rPr>
        <w:t>it</w:t>
      </w:r>
      <w:r>
        <w:rPr>
          <w:spacing w:val="-12"/>
          <w:sz w:val="20"/>
        </w:rPr>
        <w:t> </w:t>
      </w:r>
      <w:r>
        <w:rPr>
          <w:sz w:val="20"/>
        </w:rPr>
        <w:t>is</w:t>
      </w:r>
      <w:r>
        <w:rPr>
          <w:spacing w:val="-8"/>
          <w:sz w:val="20"/>
        </w:rPr>
        <w:t> </w:t>
      </w:r>
      <w:r>
        <w:rPr>
          <w:sz w:val="20"/>
        </w:rPr>
        <w:t>perfectly</w:t>
      </w:r>
      <w:r>
        <w:rPr>
          <w:spacing w:val="-9"/>
          <w:sz w:val="20"/>
        </w:rPr>
        <w:t> </w:t>
      </w:r>
      <w:r>
        <w:rPr>
          <w:sz w:val="20"/>
        </w:rPr>
        <w:t>proper,</w:t>
      </w:r>
      <w:r>
        <w:rPr>
          <w:spacing w:val="-9"/>
          <w:sz w:val="20"/>
        </w:rPr>
        <w:t> </w:t>
      </w:r>
      <w:r>
        <w:rPr>
          <w:sz w:val="20"/>
        </w:rPr>
        <w:t>and</w:t>
      </w:r>
      <w:r>
        <w:rPr>
          <w:spacing w:val="-9"/>
          <w:sz w:val="20"/>
        </w:rPr>
        <w:t> </w:t>
      </w:r>
      <w:r>
        <w:rPr>
          <w:sz w:val="20"/>
        </w:rPr>
        <w:t>is</w:t>
      </w:r>
      <w:r>
        <w:rPr>
          <w:spacing w:val="-9"/>
          <w:sz w:val="20"/>
        </w:rPr>
        <w:t> </w:t>
      </w:r>
      <w:r>
        <w:rPr>
          <w:sz w:val="20"/>
        </w:rPr>
        <w:t>not</w:t>
      </w:r>
      <w:r>
        <w:rPr>
          <w:spacing w:val="-10"/>
          <w:sz w:val="20"/>
        </w:rPr>
        <w:t> </w:t>
      </w:r>
      <w:r>
        <w:rPr>
          <w:sz w:val="20"/>
        </w:rPr>
        <w:t>conflict</w:t>
      </w:r>
      <w:r>
        <w:rPr>
          <w:spacing w:val="-11"/>
          <w:sz w:val="20"/>
        </w:rPr>
        <w:t> </w:t>
      </w:r>
      <w:r>
        <w:rPr>
          <w:sz w:val="20"/>
        </w:rPr>
        <w:t>of</w:t>
      </w:r>
      <w:r>
        <w:rPr>
          <w:spacing w:val="-10"/>
          <w:sz w:val="20"/>
        </w:rPr>
        <w:t> </w:t>
      </w:r>
      <w:r>
        <w:rPr>
          <w:sz w:val="20"/>
        </w:rPr>
        <w:t>interest,</w:t>
      </w:r>
      <w:r>
        <w:rPr>
          <w:spacing w:val="-11"/>
          <w:sz w:val="20"/>
        </w:rPr>
        <w:t> </w:t>
      </w:r>
      <w:r>
        <w:rPr>
          <w:sz w:val="20"/>
        </w:rPr>
        <w:t>for</w:t>
      </w:r>
      <w:r>
        <w:rPr>
          <w:spacing w:val="-9"/>
          <w:sz w:val="20"/>
        </w:rPr>
        <w:t> </w:t>
      </w:r>
      <w:r>
        <w:rPr>
          <w:sz w:val="20"/>
        </w:rPr>
        <w:t>KRN</w:t>
      </w:r>
      <w:r>
        <w:rPr>
          <w:spacing w:val="-9"/>
          <w:sz w:val="20"/>
        </w:rPr>
        <w:t> </w:t>
      </w:r>
      <w:r>
        <w:rPr>
          <w:sz w:val="20"/>
        </w:rPr>
        <w:t>to</w:t>
      </w:r>
      <w:r>
        <w:rPr>
          <w:spacing w:val="-11"/>
          <w:sz w:val="20"/>
        </w:rPr>
        <w:t> </w:t>
      </w:r>
      <w:r>
        <w:rPr>
          <w:sz w:val="20"/>
        </w:rPr>
        <w:t>hire and pay GSFC to prepare an in-house technical study on the Nitrogen Project;</w:t>
      </w:r>
      <w:r>
        <w:rPr>
          <w:spacing w:val="-21"/>
          <w:sz w:val="20"/>
        </w:rPr>
        <w:t> </w:t>
      </w:r>
      <w:r>
        <w:rPr>
          <w:sz w:val="20"/>
        </w:rPr>
        <w:t>and</w:t>
      </w:r>
    </w:p>
    <w:p>
      <w:pPr>
        <w:pStyle w:val="BodyText"/>
        <w:spacing w:before="10"/>
      </w:pPr>
    </w:p>
    <w:p>
      <w:pPr>
        <w:pStyle w:val="ListParagraph"/>
        <w:numPr>
          <w:ilvl w:val="1"/>
          <w:numId w:val="1"/>
        </w:numPr>
        <w:tabs>
          <w:tab w:pos="1560" w:val="left" w:leader="none"/>
          <w:tab w:pos="1561" w:val="left" w:leader="none"/>
        </w:tabs>
        <w:spacing w:line="240" w:lineRule="auto" w:before="0" w:after="0"/>
        <w:ind w:left="1560" w:right="0" w:hanging="721"/>
        <w:jc w:val="left"/>
        <w:rPr>
          <w:rFonts w:ascii="Symbol" w:hAnsi="Symbol"/>
          <w:sz w:val="20"/>
        </w:rPr>
      </w:pPr>
      <w:r>
        <w:rPr>
          <w:sz w:val="20"/>
        </w:rPr>
        <w:t>actively supporting Varma and Nanavaty in maintaining GSFC control of the KRN</w:t>
      </w:r>
      <w:r>
        <w:rPr>
          <w:spacing w:val="-20"/>
          <w:sz w:val="20"/>
        </w:rPr>
        <w:t> </w:t>
      </w:r>
      <w:r>
        <w:rPr>
          <w:sz w:val="20"/>
        </w:rPr>
        <w:t>Board.</w:t>
      </w:r>
    </w:p>
    <w:p>
      <w:pPr>
        <w:pStyle w:val="BodyText"/>
        <w:spacing w:before="8"/>
        <w:rPr>
          <w:sz w:val="30"/>
        </w:rPr>
      </w:pPr>
    </w:p>
    <w:p>
      <w:pPr>
        <w:pStyle w:val="Heading1"/>
        <w:ind w:left="120" w:firstLine="0"/>
      </w:pPr>
      <w:bookmarkStart w:name="History of GSFC Nominees on the KRN Boar" w:id="79"/>
      <w:bookmarkEnd w:id="79"/>
      <w:r>
        <w:rPr>
          <w:b w:val="0"/>
        </w:rPr>
      </w:r>
      <w:r>
        <w:rPr/>
        <w:t>History of GSFC Nominees on the KRN Board</w:t>
      </w:r>
    </w:p>
    <w:p>
      <w:pPr>
        <w:pStyle w:val="BodyText"/>
        <w:spacing w:before="9"/>
        <w:rPr>
          <w:b/>
          <w:sz w:val="30"/>
        </w:rPr>
      </w:pPr>
    </w:p>
    <w:p>
      <w:pPr>
        <w:pStyle w:val="ListParagraph"/>
        <w:numPr>
          <w:ilvl w:val="0"/>
          <w:numId w:val="4"/>
        </w:numPr>
        <w:tabs>
          <w:tab w:pos="839" w:val="left" w:leader="none"/>
          <w:tab w:pos="841" w:val="left" w:leader="none"/>
        </w:tabs>
        <w:spacing w:line="240" w:lineRule="auto" w:before="0" w:after="0"/>
        <w:ind w:left="840" w:right="0" w:hanging="721"/>
        <w:jc w:val="left"/>
        <w:rPr>
          <w:b/>
          <w:sz w:val="20"/>
        </w:rPr>
      </w:pPr>
      <w:bookmarkStart w:name="a) 2018 - GSFC Nominees on the KRN Board" w:id="80"/>
      <w:bookmarkEnd w:id="80"/>
      <w:r>
        <w:rPr/>
      </w:r>
      <w:bookmarkStart w:name="a) 2018 - GSFC Nominees on the KRN Board" w:id="81"/>
      <w:bookmarkEnd w:id="81"/>
      <w:r>
        <w:rPr>
          <w:b/>
          <w:sz w:val="20"/>
          <w:u w:val="thick"/>
        </w:rPr>
        <w:t>201</w:t>
      </w:r>
      <w:r>
        <w:rPr>
          <w:b/>
          <w:sz w:val="20"/>
          <w:u w:val="thick"/>
        </w:rPr>
        <w:t>8 - GSFC Nominees on the KRN</w:t>
      </w:r>
      <w:r>
        <w:rPr>
          <w:b/>
          <w:spacing w:val="-9"/>
          <w:sz w:val="20"/>
          <w:u w:val="thick"/>
        </w:rPr>
        <w:t> </w:t>
      </w:r>
      <w:r>
        <w:rPr>
          <w:b/>
          <w:sz w:val="20"/>
          <w:u w:val="thick"/>
        </w:rPr>
        <w:t>Board</w:t>
      </w:r>
    </w:p>
    <w:p>
      <w:pPr>
        <w:pStyle w:val="BodyText"/>
        <w:spacing w:before="8"/>
        <w:rPr>
          <w:b/>
          <w:sz w:val="22"/>
        </w:rPr>
      </w:pPr>
    </w:p>
    <w:p>
      <w:pPr>
        <w:pStyle w:val="ListParagraph"/>
        <w:numPr>
          <w:ilvl w:val="0"/>
          <w:numId w:val="1"/>
        </w:numPr>
        <w:tabs>
          <w:tab w:pos="841" w:val="left" w:leader="none"/>
        </w:tabs>
        <w:spacing w:line="360" w:lineRule="auto" w:before="94" w:after="0"/>
        <w:ind w:left="839" w:right="1157" w:hanging="720"/>
        <w:jc w:val="both"/>
        <w:rPr>
          <w:sz w:val="20"/>
        </w:rPr>
      </w:pPr>
      <w:bookmarkStart w:name="39. On February 5, 2018, when I was hire" w:id="82"/>
      <w:bookmarkEnd w:id="82"/>
      <w:r>
        <w:rPr/>
      </w:r>
      <w:bookmarkStart w:name="39. On February 5, 2018, when I was hire" w:id="83"/>
      <w:bookmarkEnd w:id="83"/>
      <w:r>
        <w:rPr>
          <w:sz w:val="20"/>
        </w:rPr>
        <w:t>O</w:t>
      </w:r>
      <w:r>
        <w:rPr>
          <w:sz w:val="20"/>
        </w:rPr>
        <w:t>n February 5, 2018, when I was hired as the President of KRN, the KRN Board had three (3) independent</w:t>
      </w:r>
      <w:r>
        <w:rPr>
          <w:spacing w:val="-12"/>
          <w:sz w:val="20"/>
        </w:rPr>
        <w:t> </w:t>
      </w:r>
      <w:r>
        <w:rPr>
          <w:sz w:val="20"/>
        </w:rPr>
        <w:t>directors,</w:t>
      </w:r>
      <w:r>
        <w:rPr>
          <w:spacing w:val="-11"/>
          <w:sz w:val="20"/>
        </w:rPr>
        <w:t> </w:t>
      </w:r>
      <w:r>
        <w:rPr>
          <w:sz w:val="20"/>
        </w:rPr>
        <w:t>Rowan,</w:t>
      </w:r>
      <w:r>
        <w:rPr>
          <w:spacing w:val="-11"/>
          <w:sz w:val="20"/>
        </w:rPr>
        <w:t> </w:t>
      </w:r>
      <w:r>
        <w:rPr>
          <w:sz w:val="20"/>
        </w:rPr>
        <w:t>who</w:t>
      </w:r>
      <w:r>
        <w:rPr>
          <w:spacing w:val="-10"/>
          <w:sz w:val="20"/>
        </w:rPr>
        <w:t> </w:t>
      </w:r>
      <w:r>
        <w:rPr>
          <w:sz w:val="20"/>
        </w:rPr>
        <w:t>was</w:t>
      </w:r>
      <w:r>
        <w:rPr>
          <w:spacing w:val="-10"/>
          <w:sz w:val="20"/>
        </w:rPr>
        <w:t> </w:t>
      </w:r>
      <w:r>
        <w:rPr>
          <w:sz w:val="20"/>
        </w:rPr>
        <w:t>the</w:t>
      </w:r>
      <w:r>
        <w:rPr>
          <w:spacing w:val="-10"/>
          <w:sz w:val="20"/>
        </w:rPr>
        <w:t> </w:t>
      </w:r>
      <w:r>
        <w:rPr>
          <w:sz w:val="20"/>
        </w:rPr>
        <w:t>Interim</w:t>
      </w:r>
      <w:r>
        <w:rPr>
          <w:spacing w:val="-11"/>
          <w:sz w:val="20"/>
        </w:rPr>
        <w:t> </w:t>
      </w:r>
      <w:r>
        <w:rPr>
          <w:sz w:val="20"/>
        </w:rPr>
        <w:t>CEO</w:t>
      </w:r>
      <w:r>
        <w:rPr>
          <w:spacing w:val="-10"/>
          <w:sz w:val="20"/>
        </w:rPr>
        <w:t> </w:t>
      </w:r>
      <w:r>
        <w:rPr>
          <w:sz w:val="20"/>
        </w:rPr>
        <w:t>at</w:t>
      </w:r>
      <w:r>
        <w:rPr>
          <w:spacing w:val="-11"/>
          <w:sz w:val="20"/>
        </w:rPr>
        <w:t> </w:t>
      </w:r>
      <w:r>
        <w:rPr>
          <w:sz w:val="20"/>
        </w:rPr>
        <w:t>the</w:t>
      </w:r>
      <w:r>
        <w:rPr>
          <w:spacing w:val="-10"/>
          <w:sz w:val="20"/>
        </w:rPr>
        <w:t> </w:t>
      </w:r>
      <w:r>
        <w:rPr>
          <w:sz w:val="20"/>
        </w:rPr>
        <w:t>time</w:t>
      </w:r>
      <w:r>
        <w:rPr>
          <w:spacing w:val="-10"/>
          <w:sz w:val="20"/>
        </w:rPr>
        <w:t> </w:t>
      </w:r>
      <w:r>
        <w:rPr>
          <w:sz w:val="20"/>
        </w:rPr>
        <w:t>and</w:t>
      </w:r>
      <w:r>
        <w:rPr>
          <w:spacing w:val="-10"/>
          <w:sz w:val="20"/>
        </w:rPr>
        <w:t> </w:t>
      </w:r>
      <w:r>
        <w:rPr>
          <w:sz w:val="20"/>
        </w:rPr>
        <w:t>was</w:t>
      </w:r>
      <w:r>
        <w:rPr>
          <w:spacing w:val="-11"/>
          <w:sz w:val="20"/>
        </w:rPr>
        <w:t> </w:t>
      </w:r>
      <w:r>
        <w:rPr>
          <w:sz w:val="20"/>
        </w:rPr>
        <w:t>not</w:t>
      </w:r>
      <w:r>
        <w:rPr>
          <w:spacing w:val="-11"/>
          <w:sz w:val="20"/>
        </w:rPr>
        <w:t> </w:t>
      </w:r>
      <w:r>
        <w:rPr>
          <w:sz w:val="20"/>
        </w:rPr>
        <w:t>independent,</w:t>
      </w:r>
      <w:r>
        <w:rPr>
          <w:spacing w:val="-11"/>
          <w:sz w:val="20"/>
        </w:rPr>
        <w:t> </w:t>
      </w:r>
      <w:r>
        <w:rPr>
          <w:sz w:val="20"/>
        </w:rPr>
        <w:t>and two (2) GSFC Nominees, Varma and Nanavaty. I verily believe that the KRN Board had 50% independent directors, and was in compliance with Securities Laws and the TSX</w:t>
      </w:r>
      <w:r>
        <w:rPr>
          <w:spacing w:val="-20"/>
          <w:sz w:val="20"/>
        </w:rPr>
        <w:t> </w:t>
      </w:r>
      <w:r>
        <w:rPr>
          <w:sz w:val="20"/>
        </w:rPr>
        <w:t>Rules.</w:t>
      </w:r>
    </w:p>
    <w:p>
      <w:pPr>
        <w:pStyle w:val="BodyText"/>
        <w:spacing w:before="10"/>
      </w:pPr>
    </w:p>
    <w:p>
      <w:pPr>
        <w:pStyle w:val="Heading1"/>
        <w:numPr>
          <w:ilvl w:val="0"/>
          <w:numId w:val="4"/>
        </w:numPr>
        <w:tabs>
          <w:tab w:pos="839" w:val="left" w:leader="none"/>
          <w:tab w:pos="841" w:val="left" w:leader="none"/>
        </w:tabs>
        <w:spacing w:line="240" w:lineRule="auto" w:before="1" w:after="0"/>
        <w:ind w:left="840" w:right="0" w:hanging="721"/>
        <w:jc w:val="left"/>
      </w:pPr>
      <w:r>
        <w:rPr>
          <w:u w:val="thick"/>
        </w:rPr>
        <w:t>2018 – Annual General</w:t>
      </w:r>
      <w:r>
        <w:rPr>
          <w:spacing w:val="-6"/>
          <w:u w:val="thick"/>
        </w:rPr>
        <w:t> </w:t>
      </w:r>
      <w:r>
        <w:rPr>
          <w:u w:val="thick"/>
        </w:rPr>
        <w:t>Meeting</w:t>
      </w:r>
    </w:p>
    <w:p>
      <w:pPr>
        <w:pStyle w:val="BodyText"/>
        <w:spacing w:before="7"/>
        <w:rPr>
          <w:b/>
          <w:sz w:val="22"/>
        </w:rPr>
      </w:pPr>
    </w:p>
    <w:p>
      <w:pPr>
        <w:pStyle w:val="ListParagraph"/>
        <w:numPr>
          <w:ilvl w:val="0"/>
          <w:numId w:val="1"/>
        </w:numPr>
        <w:tabs>
          <w:tab w:pos="841" w:val="left" w:leader="none"/>
        </w:tabs>
        <w:spacing w:line="360" w:lineRule="auto" w:before="94" w:after="0"/>
        <w:ind w:left="839" w:right="1157" w:hanging="720"/>
        <w:jc w:val="both"/>
        <w:rPr>
          <w:sz w:val="20"/>
        </w:rPr>
      </w:pPr>
      <w:bookmarkStart w:name="40. At the annual general meeting of sha" w:id="84"/>
      <w:bookmarkEnd w:id="84"/>
      <w:r>
        <w:rPr/>
      </w:r>
      <w:bookmarkStart w:name="40. At the annual general meeting of sha" w:id="85"/>
      <w:bookmarkEnd w:id="85"/>
      <w:r>
        <w:rPr>
          <w:sz w:val="20"/>
        </w:rPr>
        <w:t>A</w:t>
      </w:r>
      <w:r>
        <w:rPr>
          <w:sz w:val="20"/>
        </w:rPr>
        <w:t>t the annual general meeting of shareholders held on June 7, 2018 (the “</w:t>
      </w:r>
      <w:r>
        <w:rPr>
          <w:b/>
          <w:sz w:val="20"/>
        </w:rPr>
        <w:t>2018 AGM</w:t>
      </w:r>
      <w:r>
        <w:rPr>
          <w:sz w:val="20"/>
        </w:rPr>
        <w:t>”), the incumbent six (6) directors were re-elected, and I verily believe that the KRN Board had 50% independent directors, and was in compliance with Securities Laws and the TSX Rules. Attached and marked as </w:t>
      </w:r>
      <w:r>
        <w:rPr>
          <w:b/>
          <w:sz w:val="20"/>
        </w:rPr>
        <w:t>Exhibit “F” </w:t>
      </w:r>
      <w:r>
        <w:rPr>
          <w:sz w:val="20"/>
        </w:rPr>
        <w:t>to the FDW Affidavit is a copy of the voting results for the 2018</w:t>
      </w:r>
      <w:r>
        <w:rPr>
          <w:spacing w:val="-38"/>
          <w:sz w:val="20"/>
        </w:rPr>
        <w:t> </w:t>
      </w:r>
      <w:r>
        <w:rPr>
          <w:sz w:val="20"/>
        </w:rPr>
        <w:t>AGM.</w:t>
      </w:r>
    </w:p>
    <w:p>
      <w:pPr>
        <w:spacing w:after="0" w:line="360" w:lineRule="auto"/>
        <w:jc w:val="both"/>
        <w:rPr>
          <w:sz w:val="20"/>
        </w:rPr>
        <w:sectPr>
          <w:pgSz w:w="12240" w:h="15840"/>
          <w:pgMar w:header="0" w:footer="1259" w:top="1220" w:bottom="1440" w:left="1320" w:right="280"/>
        </w:sectPr>
      </w:pPr>
    </w:p>
    <w:p>
      <w:pPr>
        <w:pStyle w:val="Heading1"/>
        <w:numPr>
          <w:ilvl w:val="0"/>
          <w:numId w:val="4"/>
        </w:numPr>
        <w:tabs>
          <w:tab w:pos="839" w:val="left" w:leader="none"/>
          <w:tab w:pos="841" w:val="left" w:leader="none"/>
        </w:tabs>
        <w:spacing w:line="240" w:lineRule="auto" w:before="75" w:after="0"/>
        <w:ind w:left="840" w:right="0" w:hanging="721"/>
        <w:jc w:val="left"/>
      </w:pPr>
      <w:r>
        <w:rPr/>
        <w:pict>
          <v:group style="position:absolute;margin-left:472.632996pt;margin-top:737.947876pt;width:115.15pt;height:44.35pt;mso-position-horizontal-relative:page;mso-position-vertical-relative:page;z-index:251677696" coordorigin="9453,14759" coordsize="2303,887">
            <v:shape style="position:absolute;left:10893;top:14770;width:863;height:876" type="#_x0000_t75" stroked="false">
              <v:imagedata r:id="rId9" o:title=""/>
            </v:shape>
            <v:shape style="position:absolute;left:9452;top:14758;width:1381;height:876" type="#_x0000_t75" stroked="false">
              <v:imagedata r:id="rId10" o:title=""/>
            </v:shape>
            <w10:wrap type="none"/>
          </v:group>
        </w:pict>
      </w:r>
      <w:r>
        <w:rPr>
          <w:u w:val="thick"/>
        </w:rPr>
        <w:t>2018 - Increase in GSFC Ownership Interest in</w:t>
      </w:r>
      <w:r>
        <w:rPr>
          <w:spacing w:val="-10"/>
          <w:u w:val="thick"/>
        </w:rPr>
        <w:t> </w:t>
      </w:r>
      <w:r>
        <w:rPr>
          <w:u w:val="thick"/>
        </w:rPr>
        <w:t>KRN</w:t>
      </w:r>
    </w:p>
    <w:p>
      <w:pPr>
        <w:pStyle w:val="BodyText"/>
        <w:spacing w:before="8"/>
        <w:rPr>
          <w:b/>
          <w:sz w:val="22"/>
        </w:rPr>
      </w:pPr>
    </w:p>
    <w:p>
      <w:pPr>
        <w:pStyle w:val="ListParagraph"/>
        <w:numPr>
          <w:ilvl w:val="0"/>
          <w:numId w:val="1"/>
        </w:numPr>
        <w:tabs>
          <w:tab w:pos="841" w:val="left" w:leader="none"/>
        </w:tabs>
        <w:spacing w:line="360" w:lineRule="auto" w:before="94" w:after="0"/>
        <w:ind w:left="839" w:right="1157" w:hanging="720"/>
        <w:jc w:val="both"/>
        <w:rPr>
          <w:sz w:val="20"/>
        </w:rPr>
      </w:pPr>
      <w:r>
        <w:rPr>
          <w:sz w:val="20"/>
        </w:rPr>
        <w:t>On</w:t>
      </w:r>
      <w:r>
        <w:rPr>
          <w:spacing w:val="-11"/>
          <w:sz w:val="20"/>
        </w:rPr>
        <w:t> </w:t>
      </w:r>
      <w:r>
        <w:rPr>
          <w:sz w:val="20"/>
        </w:rPr>
        <w:t>November</w:t>
      </w:r>
      <w:r>
        <w:rPr>
          <w:spacing w:val="-10"/>
          <w:sz w:val="20"/>
        </w:rPr>
        <w:t> </w:t>
      </w:r>
      <w:r>
        <w:rPr>
          <w:sz w:val="20"/>
        </w:rPr>
        <w:t>14,</w:t>
      </w:r>
      <w:r>
        <w:rPr>
          <w:spacing w:val="-11"/>
          <w:sz w:val="20"/>
        </w:rPr>
        <w:t> </w:t>
      </w:r>
      <w:r>
        <w:rPr>
          <w:sz w:val="20"/>
        </w:rPr>
        <w:t>2018,</w:t>
      </w:r>
      <w:r>
        <w:rPr>
          <w:spacing w:val="-11"/>
          <w:sz w:val="20"/>
        </w:rPr>
        <w:t> </w:t>
      </w:r>
      <w:r>
        <w:rPr>
          <w:sz w:val="20"/>
        </w:rPr>
        <w:t>the</w:t>
      </w:r>
      <w:r>
        <w:rPr>
          <w:spacing w:val="-10"/>
          <w:sz w:val="20"/>
        </w:rPr>
        <w:t> </w:t>
      </w:r>
      <w:r>
        <w:rPr>
          <w:sz w:val="20"/>
        </w:rPr>
        <w:t>KRN</w:t>
      </w:r>
      <w:r>
        <w:rPr>
          <w:spacing w:val="-10"/>
          <w:sz w:val="20"/>
        </w:rPr>
        <w:t> </w:t>
      </w:r>
      <w:r>
        <w:rPr>
          <w:sz w:val="20"/>
        </w:rPr>
        <w:t>Board</w:t>
      </w:r>
      <w:r>
        <w:rPr>
          <w:spacing w:val="-11"/>
          <w:sz w:val="20"/>
        </w:rPr>
        <w:t> </w:t>
      </w:r>
      <w:r>
        <w:rPr>
          <w:sz w:val="20"/>
        </w:rPr>
        <w:t>authorized</w:t>
      </w:r>
      <w:r>
        <w:rPr>
          <w:spacing w:val="-10"/>
          <w:sz w:val="20"/>
        </w:rPr>
        <w:t> </w:t>
      </w:r>
      <w:r>
        <w:rPr>
          <w:sz w:val="20"/>
        </w:rPr>
        <w:t>KRN</w:t>
      </w:r>
      <w:r>
        <w:rPr>
          <w:spacing w:val="-10"/>
          <w:sz w:val="20"/>
        </w:rPr>
        <w:t> </w:t>
      </w:r>
      <w:r>
        <w:rPr>
          <w:sz w:val="20"/>
        </w:rPr>
        <w:t>to</w:t>
      </w:r>
      <w:r>
        <w:rPr>
          <w:spacing w:val="-10"/>
          <w:sz w:val="20"/>
        </w:rPr>
        <w:t> </w:t>
      </w:r>
      <w:r>
        <w:rPr>
          <w:sz w:val="20"/>
        </w:rPr>
        <w:t>undertake</w:t>
      </w:r>
      <w:r>
        <w:rPr>
          <w:spacing w:val="-10"/>
          <w:sz w:val="20"/>
        </w:rPr>
        <w:t> </w:t>
      </w:r>
      <w:r>
        <w:rPr>
          <w:sz w:val="20"/>
        </w:rPr>
        <w:t>a</w:t>
      </w:r>
      <w:r>
        <w:rPr>
          <w:spacing w:val="-10"/>
          <w:sz w:val="20"/>
        </w:rPr>
        <w:t> </w:t>
      </w:r>
      <w:r>
        <w:rPr>
          <w:sz w:val="20"/>
        </w:rPr>
        <w:t>public</w:t>
      </w:r>
      <w:r>
        <w:rPr>
          <w:spacing w:val="-10"/>
          <w:sz w:val="20"/>
        </w:rPr>
        <w:t> </w:t>
      </w:r>
      <w:r>
        <w:rPr>
          <w:sz w:val="20"/>
        </w:rPr>
        <w:t>offering</w:t>
      </w:r>
      <w:r>
        <w:rPr>
          <w:spacing w:val="-10"/>
          <w:sz w:val="20"/>
        </w:rPr>
        <w:t> </w:t>
      </w:r>
      <w:r>
        <w:rPr>
          <w:sz w:val="20"/>
        </w:rPr>
        <w:t>of</w:t>
      </w:r>
      <w:r>
        <w:rPr>
          <w:spacing w:val="-11"/>
          <w:sz w:val="20"/>
        </w:rPr>
        <w:t> </w:t>
      </w:r>
      <w:r>
        <w:rPr>
          <w:sz w:val="20"/>
        </w:rPr>
        <w:t>securities by way of rights offering (the “</w:t>
      </w:r>
      <w:r>
        <w:rPr>
          <w:b/>
          <w:sz w:val="20"/>
        </w:rPr>
        <w:t>Rights Offering</w:t>
      </w:r>
      <w:r>
        <w:rPr>
          <w:sz w:val="20"/>
        </w:rPr>
        <w:t>”) to all KRN shareholders (the “</w:t>
      </w:r>
      <w:r>
        <w:rPr>
          <w:b/>
          <w:sz w:val="20"/>
        </w:rPr>
        <w:t>KRN Shareholders</w:t>
      </w:r>
      <w:r>
        <w:rPr>
          <w:sz w:val="20"/>
        </w:rPr>
        <w:t>”). Attached and marked as </w:t>
      </w:r>
      <w:r>
        <w:rPr>
          <w:b/>
          <w:sz w:val="20"/>
        </w:rPr>
        <w:t>Exhibit “N” </w:t>
      </w:r>
      <w:r>
        <w:rPr>
          <w:sz w:val="20"/>
        </w:rPr>
        <w:t>to the FDW Affidavit is a copy of the rights offering</w:t>
      </w:r>
      <w:r>
        <w:rPr>
          <w:spacing w:val="-2"/>
          <w:sz w:val="20"/>
        </w:rPr>
        <w:t> </w:t>
      </w:r>
      <w:r>
        <w:rPr>
          <w:sz w:val="20"/>
        </w:rPr>
        <w:t>circular.</w:t>
      </w:r>
    </w:p>
    <w:p>
      <w:pPr>
        <w:pStyle w:val="BodyText"/>
        <w:spacing w:before="10"/>
      </w:pPr>
    </w:p>
    <w:p>
      <w:pPr>
        <w:pStyle w:val="ListParagraph"/>
        <w:numPr>
          <w:ilvl w:val="0"/>
          <w:numId w:val="1"/>
        </w:numPr>
        <w:tabs>
          <w:tab w:pos="840" w:val="left" w:leader="none"/>
        </w:tabs>
        <w:spacing w:line="360" w:lineRule="auto" w:before="0" w:after="0"/>
        <w:ind w:left="839" w:right="1157" w:hanging="720"/>
        <w:jc w:val="both"/>
        <w:rPr>
          <w:sz w:val="20"/>
        </w:rPr>
      </w:pPr>
      <w:r>
        <w:rPr>
          <w:sz w:val="20"/>
        </w:rPr>
        <w:t>The Rights Offering closed on December 23, 2018 and raised approximately $2.3 million. GSFC participated in the Rights Offering and increased its shareholdings in KRN from 21.5% to 38.73%. Attached and marked as </w:t>
      </w:r>
      <w:r>
        <w:rPr>
          <w:b/>
          <w:sz w:val="20"/>
        </w:rPr>
        <w:t>Exhibit “AA” </w:t>
      </w:r>
      <w:r>
        <w:rPr>
          <w:sz w:val="20"/>
        </w:rPr>
        <w:t>to the FDW Affidavit is a copy of the KRN press release  of November 14, 2018. Attached and marked as </w:t>
      </w:r>
      <w:r>
        <w:rPr>
          <w:b/>
          <w:sz w:val="20"/>
        </w:rPr>
        <w:t>Exhibit “O” </w:t>
      </w:r>
      <w:r>
        <w:rPr>
          <w:sz w:val="20"/>
        </w:rPr>
        <w:t>to the FDW Affidavit is a copy of the KRN press release of December 24,</w:t>
      </w:r>
      <w:r>
        <w:rPr>
          <w:spacing w:val="-4"/>
          <w:sz w:val="20"/>
        </w:rPr>
        <w:t> </w:t>
      </w:r>
      <w:r>
        <w:rPr>
          <w:sz w:val="20"/>
        </w:rPr>
        <w:t>2018.</w:t>
      </w:r>
    </w:p>
    <w:p>
      <w:pPr>
        <w:pStyle w:val="BodyText"/>
        <w:spacing w:before="10"/>
      </w:pPr>
    </w:p>
    <w:p>
      <w:pPr>
        <w:pStyle w:val="Heading1"/>
        <w:numPr>
          <w:ilvl w:val="0"/>
          <w:numId w:val="4"/>
        </w:numPr>
        <w:tabs>
          <w:tab w:pos="839" w:val="left" w:leader="none"/>
          <w:tab w:pos="841" w:val="left" w:leader="none"/>
        </w:tabs>
        <w:spacing w:line="240" w:lineRule="auto" w:before="1" w:after="0"/>
        <w:ind w:left="840" w:right="0" w:hanging="721"/>
        <w:jc w:val="left"/>
      </w:pPr>
      <w:r>
        <w:rPr>
          <w:u w:val="thick"/>
        </w:rPr>
        <w:t>2019 - GSFC Gains Control of KRN</w:t>
      </w:r>
      <w:r>
        <w:rPr>
          <w:spacing w:val="-8"/>
          <w:u w:val="thick"/>
        </w:rPr>
        <w:t> </w:t>
      </w:r>
      <w:r>
        <w:rPr>
          <w:u w:val="thick"/>
        </w:rPr>
        <w:t>Board</w:t>
      </w:r>
    </w:p>
    <w:p>
      <w:pPr>
        <w:pStyle w:val="BodyText"/>
        <w:spacing w:before="7"/>
        <w:rPr>
          <w:b/>
          <w:sz w:val="22"/>
        </w:rPr>
      </w:pPr>
    </w:p>
    <w:p>
      <w:pPr>
        <w:pStyle w:val="ListParagraph"/>
        <w:numPr>
          <w:ilvl w:val="0"/>
          <w:numId w:val="1"/>
        </w:numPr>
        <w:tabs>
          <w:tab w:pos="841" w:val="left" w:leader="none"/>
        </w:tabs>
        <w:spacing w:line="360" w:lineRule="auto" w:before="94" w:after="0"/>
        <w:ind w:left="840" w:right="1155" w:hanging="721"/>
        <w:jc w:val="both"/>
        <w:rPr>
          <w:sz w:val="20"/>
        </w:rPr>
      </w:pPr>
      <w:r>
        <w:rPr>
          <w:sz w:val="20"/>
        </w:rPr>
        <w:t>In November 2018, information came to my attention that in my opinion, as CEO of Karnalyte, warranted</w:t>
      </w:r>
      <w:r>
        <w:rPr>
          <w:spacing w:val="-13"/>
          <w:sz w:val="20"/>
        </w:rPr>
        <w:t> </w:t>
      </w:r>
      <w:r>
        <w:rPr>
          <w:sz w:val="20"/>
        </w:rPr>
        <w:t>an</w:t>
      </w:r>
      <w:r>
        <w:rPr>
          <w:spacing w:val="-13"/>
          <w:sz w:val="20"/>
        </w:rPr>
        <w:t> </w:t>
      </w:r>
      <w:r>
        <w:rPr>
          <w:sz w:val="20"/>
        </w:rPr>
        <w:t>independent</w:t>
      </w:r>
      <w:r>
        <w:rPr>
          <w:spacing w:val="-13"/>
          <w:sz w:val="20"/>
        </w:rPr>
        <w:t> </w:t>
      </w:r>
      <w:r>
        <w:rPr>
          <w:sz w:val="20"/>
        </w:rPr>
        <w:t>investigation.</w:t>
      </w:r>
      <w:r>
        <w:rPr>
          <w:spacing w:val="31"/>
          <w:sz w:val="20"/>
        </w:rPr>
        <w:t> </w:t>
      </w:r>
      <w:r>
        <w:rPr>
          <w:sz w:val="20"/>
        </w:rPr>
        <w:t>I</w:t>
      </w:r>
      <w:r>
        <w:rPr>
          <w:spacing w:val="-14"/>
          <w:sz w:val="20"/>
        </w:rPr>
        <w:t> </w:t>
      </w:r>
      <w:r>
        <w:rPr>
          <w:sz w:val="20"/>
        </w:rPr>
        <w:t>hired</w:t>
      </w:r>
      <w:r>
        <w:rPr>
          <w:spacing w:val="-12"/>
          <w:sz w:val="20"/>
        </w:rPr>
        <w:t> </w:t>
      </w:r>
      <w:r>
        <w:rPr>
          <w:sz w:val="20"/>
        </w:rPr>
        <w:t>MLT</w:t>
      </w:r>
      <w:r>
        <w:rPr>
          <w:spacing w:val="-14"/>
          <w:sz w:val="20"/>
        </w:rPr>
        <w:t> </w:t>
      </w:r>
      <w:r>
        <w:rPr>
          <w:sz w:val="20"/>
        </w:rPr>
        <w:t>Aikins</w:t>
      </w:r>
      <w:r>
        <w:rPr>
          <w:spacing w:val="-12"/>
          <w:sz w:val="20"/>
        </w:rPr>
        <w:t> </w:t>
      </w:r>
      <w:r>
        <w:rPr>
          <w:sz w:val="20"/>
        </w:rPr>
        <w:t>to</w:t>
      </w:r>
      <w:r>
        <w:rPr>
          <w:spacing w:val="-13"/>
          <w:sz w:val="20"/>
        </w:rPr>
        <w:t> </w:t>
      </w:r>
      <w:r>
        <w:rPr>
          <w:sz w:val="20"/>
        </w:rPr>
        <w:t>undertake</w:t>
      </w:r>
      <w:r>
        <w:rPr>
          <w:spacing w:val="-12"/>
          <w:sz w:val="20"/>
        </w:rPr>
        <w:t> </w:t>
      </w:r>
      <w:r>
        <w:rPr>
          <w:sz w:val="20"/>
        </w:rPr>
        <w:t>the</w:t>
      </w:r>
      <w:r>
        <w:rPr>
          <w:spacing w:val="-13"/>
          <w:sz w:val="20"/>
        </w:rPr>
        <w:t> </w:t>
      </w:r>
      <w:r>
        <w:rPr>
          <w:sz w:val="20"/>
        </w:rPr>
        <w:t>investigation,</w:t>
      </w:r>
      <w:r>
        <w:rPr>
          <w:spacing w:val="-13"/>
          <w:sz w:val="20"/>
        </w:rPr>
        <w:t> </w:t>
      </w:r>
      <w:r>
        <w:rPr>
          <w:sz w:val="20"/>
        </w:rPr>
        <w:t>and</w:t>
      </w:r>
      <w:r>
        <w:rPr>
          <w:spacing w:val="-13"/>
          <w:sz w:val="20"/>
        </w:rPr>
        <w:t> </w:t>
      </w:r>
      <w:r>
        <w:rPr>
          <w:sz w:val="20"/>
        </w:rPr>
        <w:t>with the results of the investigation in hand, I requested the resignation of the three (3) independent directors.</w:t>
      </w:r>
    </w:p>
    <w:p>
      <w:pPr>
        <w:pStyle w:val="BodyText"/>
        <w:spacing w:before="10"/>
      </w:pPr>
    </w:p>
    <w:p>
      <w:pPr>
        <w:pStyle w:val="ListParagraph"/>
        <w:numPr>
          <w:ilvl w:val="0"/>
          <w:numId w:val="1"/>
        </w:numPr>
        <w:tabs>
          <w:tab w:pos="840" w:val="left" w:leader="none"/>
        </w:tabs>
        <w:spacing w:line="360" w:lineRule="auto" w:before="0" w:after="0"/>
        <w:ind w:left="840" w:right="1156" w:hanging="721"/>
        <w:jc w:val="both"/>
        <w:rPr>
          <w:sz w:val="20"/>
        </w:rPr>
      </w:pPr>
      <w:r>
        <w:rPr>
          <w:sz w:val="20"/>
        </w:rPr>
        <w:t>On</w:t>
      </w:r>
      <w:r>
        <w:rPr>
          <w:spacing w:val="-10"/>
          <w:sz w:val="20"/>
        </w:rPr>
        <w:t> </w:t>
      </w:r>
      <w:r>
        <w:rPr>
          <w:sz w:val="20"/>
        </w:rPr>
        <w:t>January</w:t>
      </w:r>
      <w:r>
        <w:rPr>
          <w:spacing w:val="-10"/>
          <w:sz w:val="20"/>
        </w:rPr>
        <w:t> </w:t>
      </w:r>
      <w:r>
        <w:rPr>
          <w:sz w:val="20"/>
        </w:rPr>
        <w:t>16,</w:t>
      </w:r>
      <w:r>
        <w:rPr>
          <w:spacing w:val="-11"/>
          <w:sz w:val="20"/>
        </w:rPr>
        <w:t> </w:t>
      </w:r>
      <w:r>
        <w:rPr>
          <w:sz w:val="20"/>
        </w:rPr>
        <w:t>2019,</w:t>
      </w:r>
      <w:r>
        <w:rPr>
          <w:spacing w:val="-11"/>
          <w:sz w:val="20"/>
        </w:rPr>
        <w:t> </w:t>
      </w:r>
      <w:r>
        <w:rPr>
          <w:sz w:val="20"/>
        </w:rPr>
        <w:t>when</w:t>
      </w:r>
      <w:r>
        <w:rPr>
          <w:spacing w:val="-10"/>
          <w:sz w:val="20"/>
        </w:rPr>
        <w:t> </w:t>
      </w:r>
      <w:r>
        <w:rPr>
          <w:sz w:val="20"/>
        </w:rPr>
        <w:t>the</w:t>
      </w:r>
      <w:r>
        <w:rPr>
          <w:spacing w:val="-10"/>
          <w:sz w:val="20"/>
        </w:rPr>
        <w:t> </w:t>
      </w:r>
      <w:r>
        <w:rPr>
          <w:sz w:val="20"/>
        </w:rPr>
        <w:t>three</w:t>
      </w:r>
      <w:r>
        <w:rPr>
          <w:spacing w:val="-10"/>
          <w:sz w:val="20"/>
        </w:rPr>
        <w:t> </w:t>
      </w:r>
      <w:r>
        <w:rPr>
          <w:sz w:val="20"/>
        </w:rPr>
        <w:t>(3)</w:t>
      </w:r>
      <w:r>
        <w:rPr>
          <w:spacing w:val="-10"/>
          <w:sz w:val="20"/>
        </w:rPr>
        <w:t> </w:t>
      </w:r>
      <w:r>
        <w:rPr>
          <w:sz w:val="20"/>
        </w:rPr>
        <w:t>independent</w:t>
      </w:r>
      <w:r>
        <w:rPr>
          <w:spacing w:val="-11"/>
          <w:sz w:val="20"/>
        </w:rPr>
        <w:t> </w:t>
      </w:r>
      <w:r>
        <w:rPr>
          <w:sz w:val="20"/>
        </w:rPr>
        <w:t>directors</w:t>
      </w:r>
      <w:r>
        <w:rPr>
          <w:spacing w:val="-10"/>
          <w:sz w:val="20"/>
        </w:rPr>
        <w:t> </w:t>
      </w:r>
      <w:r>
        <w:rPr>
          <w:sz w:val="20"/>
        </w:rPr>
        <w:t>resigned</w:t>
      </w:r>
      <w:r>
        <w:rPr>
          <w:spacing w:val="-9"/>
          <w:sz w:val="20"/>
        </w:rPr>
        <w:t> </w:t>
      </w:r>
      <w:r>
        <w:rPr>
          <w:sz w:val="20"/>
        </w:rPr>
        <w:t>from</w:t>
      </w:r>
      <w:r>
        <w:rPr>
          <w:spacing w:val="-10"/>
          <w:sz w:val="20"/>
        </w:rPr>
        <w:t> </w:t>
      </w:r>
      <w:r>
        <w:rPr>
          <w:sz w:val="20"/>
        </w:rPr>
        <w:t>the</w:t>
      </w:r>
      <w:r>
        <w:rPr>
          <w:spacing w:val="-11"/>
          <w:sz w:val="20"/>
        </w:rPr>
        <w:t> </w:t>
      </w:r>
      <w:r>
        <w:rPr>
          <w:sz w:val="20"/>
        </w:rPr>
        <w:t>KRN</w:t>
      </w:r>
      <w:r>
        <w:rPr>
          <w:spacing w:val="-10"/>
          <w:sz w:val="20"/>
        </w:rPr>
        <w:t> </w:t>
      </w:r>
      <w:r>
        <w:rPr>
          <w:sz w:val="20"/>
        </w:rPr>
        <w:t>Board,</w:t>
      </w:r>
      <w:r>
        <w:rPr>
          <w:spacing w:val="-11"/>
          <w:sz w:val="20"/>
        </w:rPr>
        <w:t> </w:t>
      </w:r>
      <w:r>
        <w:rPr>
          <w:sz w:val="20"/>
        </w:rPr>
        <w:t>their resignations created three (3) vacancies. Attached and marked as </w:t>
      </w:r>
      <w:r>
        <w:rPr>
          <w:b/>
          <w:sz w:val="20"/>
        </w:rPr>
        <w:t>Exhibit “G” </w:t>
      </w:r>
      <w:r>
        <w:rPr>
          <w:sz w:val="20"/>
        </w:rPr>
        <w:t>to the FDW Affidavit is a copy of the Karnaltye press release dated January 16,</w:t>
      </w:r>
      <w:r>
        <w:rPr>
          <w:spacing w:val="-13"/>
          <w:sz w:val="20"/>
        </w:rPr>
        <w:t> </w:t>
      </w:r>
      <w:r>
        <w:rPr>
          <w:sz w:val="20"/>
        </w:rPr>
        <w:t>2019.</w:t>
      </w:r>
    </w:p>
    <w:p>
      <w:pPr>
        <w:pStyle w:val="BodyText"/>
        <w:rPr>
          <w:sz w:val="21"/>
        </w:rPr>
      </w:pPr>
    </w:p>
    <w:p>
      <w:pPr>
        <w:pStyle w:val="ListParagraph"/>
        <w:numPr>
          <w:ilvl w:val="0"/>
          <w:numId w:val="1"/>
        </w:numPr>
        <w:tabs>
          <w:tab w:pos="839" w:val="left" w:leader="none"/>
          <w:tab w:pos="840" w:val="left" w:leader="none"/>
        </w:tabs>
        <w:spacing w:line="240" w:lineRule="auto" w:before="0" w:after="0"/>
        <w:ind w:left="839" w:right="0" w:hanging="721"/>
        <w:jc w:val="left"/>
        <w:rPr>
          <w:sz w:val="20"/>
        </w:rPr>
      </w:pPr>
      <w:bookmarkStart w:name="45. I verily believe that as of January " w:id="86"/>
      <w:bookmarkEnd w:id="86"/>
      <w:r>
        <w:rPr/>
      </w:r>
      <w:bookmarkStart w:name="45. I verily believe that as of January " w:id="87"/>
      <w:bookmarkEnd w:id="87"/>
      <w:r>
        <w:rPr>
          <w:sz w:val="20"/>
        </w:rPr>
        <w:t>I</w:t>
      </w:r>
      <w:r>
        <w:rPr>
          <w:sz w:val="20"/>
        </w:rPr>
        <w:t> verily believe that as of January 16,</w:t>
      </w:r>
      <w:r>
        <w:rPr>
          <w:spacing w:val="-7"/>
          <w:sz w:val="20"/>
        </w:rPr>
        <w:t> </w:t>
      </w:r>
      <w:r>
        <w:rPr>
          <w:sz w:val="20"/>
        </w:rPr>
        <w:t>2019:</w:t>
      </w:r>
    </w:p>
    <w:p>
      <w:pPr>
        <w:pStyle w:val="BodyText"/>
        <w:spacing w:before="10"/>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bookmarkStart w:name=" GSFC controlled the KRN Board;" w:id="88"/>
      <w:bookmarkEnd w:id="88"/>
      <w:r>
        <w:rPr/>
      </w:r>
      <w:bookmarkStart w:name=" GSFC controlled the KRN Board;" w:id="89"/>
      <w:bookmarkEnd w:id="89"/>
      <w:r>
        <w:rPr>
          <w:sz w:val="20"/>
        </w:rPr>
        <w:t>G</w:t>
      </w:r>
      <w:r>
        <w:rPr>
          <w:sz w:val="20"/>
        </w:rPr>
        <w:t>SFC controlled the KRN</w:t>
      </w:r>
      <w:r>
        <w:rPr>
          <w:spacing w:val="-5"/>
          <w:sz w:val="20"/>
        </w:rPr>
        <w:t> </w:t>
      </w:r>
      <w:r>
        <w:rPr>
          <w:sz w:val="20"/>
        </w:rPr>
        <w:t>Board;</w:t>
      </w:r>
    </w:p>
    <w:p>
      <w:pPr>
        <w:pStyle w:val="BodyText"/>
        <w:spacing w:before="9"/>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bookmarkStart w:name=" GSFC Nominees comprised the majority o" w:id="90"/>
      <w:bookmarkEnd w:id="90"/>
      <w:r>
        <w:rPr/>
      </w:r>
      <w:bookmarkStart w:name=" GSFC Nominees comprised the majority o" w:id="91"/>
      <w:bookmarkEnd w:id="91"/>
      <w:r>
        <w:rPr>
          <w:sz w:val="20"/>
        </w:rPr>
        <w:t>G</w:t>
      </w:r>
      <w:r>
        <w:rPr>
          <w:sz w:val="20"/>
        </w:rPr>
        <w:t>SFC Nominees comprised the majority of the members of the KRN</w:t>
      </w:r>
      <w:r>
        <w:rPr>
          <w:spacing w:val="-12"/>
          <w:sz w:val="20"/>
        </w:rPr>
        <w:t> </w:t>
      </w:r>
      <w:r>
        <w:rPr>
          <w:sz w:val="20"/>
        </w:rPr>
        <w:t>Board;</w:t>
      </w:r>
    </w:p>
    <w:p>
      <w:pPr>
        <w:pStyle w:val="BodyText"/>
        <w:spacing w:before="7"/>
        <w:rPr>
          <w:sz w:val="30"/>
        </w:rPr>
      </w:pPr>
    </w:p>
    <w:p>
      <w:pPr>
        <w:pStyle w:val="ListParagraph"/>
        <w:numPr>
          <w:ilvl w:val="1"/>
          <w:numId w:val="1"/>
        </w:numPr>
        <w:tabs>
          <w:tab w:pos="1559" w:val="left" w:leader="none"/>
          <w:tab w:pos="1560" w:val="left" w:leader="none"/>
        </w:tabs>
        <w:spacing w:line="240" w:lineRule="auto" w:before="1" w:after="0"/>
        <w:ind w:left="1559" w:right="0" w:hanging="721"/>
        <w:jc w:val="left"/>
        <w:rPr>
          <w:rFonts w:ascii="Symbol" w:hAnsi="Symbol"/>
          <w:sz w:val="20"/>
        </w:rPr>
      </w:pPr>
      <w:bookmarkStart w:name=" GSFC knew that they had total and comp" w:id="92"/>
      <w:bookmarkEnd w:id="92"/>
      <w:r>
        <w:rPr/>
      </w:r>
      <w:bookmarkStart w:name=" GSFC knew that they had total and comp" w:id="93"/>
      <w:bookmarkEnd w:id="93"/>
      <w:r>
        <w:rPr>
          <w:sz w:val="20"/>
        </w:rPr>
        <w:t>G</w:t>
      </w:r>
      <w:r>
        <w:rPr>
          <w:sz w:val="20"/>
        </w:rPr>
        <w:t>SFC knew that they had total and complete control of KRN and the KRN</w:t>
      </w:r>
      <w:r>
        <w:rPr>
          <w:spacing w:val="-16"/>
          <w:sz w:val="20"/>
        </w:rPr>
        <w:t> </w:t>
      </w:r>
      <w:r>
        <w:rPr>
          <w:sz w:val="20"/>
        </w:rPr>
        <w:t>Board;</w:t>
      </w:r>
    </w:p>
    <w:p>
      <w:pPr>
        <w:pStyle w:val="BodyText"/>
        <w:spacing w:before="8"/>
        <w:rPr>
          <w:sz w:val="30"/>
        </w:rPr>
      </w:pPr>
    </w:p>
    <w:p>
      <w:pPr>
        <w:pStyle w:val="ListParagraph"/>
        <w:numPr>
          <w:ilvl w:val="1"/>
          <w:numId w:val="1"/>
        </w:numPr>
        <w:tabs>
          <w:tab w:pos="1559" w:val="left" w:leader="none"/>
          <w:tab w:pos="1560" w:val="left" w:leader="none"/>
        </w:tabs>
        <w:spacing w:line="350" w:lineRule="auto" w:before="0" w:after="0"/>
        <w:ind w:left="1559" w:right="1157" w:hanging="721"/>
        <w:jc w:val="left"/>
        <w:rPr>
          <w:rFonts w:ascii="Symbol" w:hAnsi="Symbol"/>
          <w:sz w:val="20"/>
        </w:rPr>
      </w:pPr>
      <w:r>
        <w:rPr>
          <w:sz w:val="20"/>
        </w:rPr>
        <w:t>GSFC</w:t>
      </w:r>
      <w:r>
        <w:rPr>
          <w:spacing w:val="-4"/>
          <w:sz w:val="20"/>
        </w:rPr>
        <w:t> </w:t>
      </w:r>
      <w:r>
        <w:rPr>
          <w:sz w:val="20"/>
        </w:rPr>
        <w:t>and</w:t>
      </w:r>
      <w:r>
        <w:rPr>
          <w:spacing w:val="-3"/>
          <w:sz w:val="20"/>
        </w:rPr>
        <w:t> </w:t>
      </w:r>
      <w:r>
        <w:rPr>
          <w:sz w:val="20"/>
        </w:rPr>
        <w:t>the</w:t>
      </w:r>
      <w:r>
        <w:rPr>
          <w:spacing w:val="-4"/>
          <w:sz w:val="20"/>
        </w:rPr>
        <w:t> </w:t>
      </w:r>
      <w:r>
        <w:rPr>
          <w:sz w:val="20"/>
        </w:rPr>
        <w:t>GSFC</w:t>
      </w:r>
      <w:r>
        <w:rPr>
          <w:spacing w:val="-3"/>
          <w:sz w:val="20"/>
        </w:rPr>
        <w:t> </w:t>
      </w:r>
      <w:r>
        <w:rPr>
          <w:sz w:val="20"/>
        </w:rPr>
        <w:t>Nominees</w:t>
      </w:r>
      <w:r>
        <w:rPr>
          <w:spacing w:val="-3"/>
          <w:sz w:val="20"/>
        </w:rPr>
        <w:t> </w:t>
      </w:r>
      <w:r>
        <w:rPr>
          <w:sz w:val="20"/>
        </w:rPr>
        <w:t>decided</w:t>
      </w:r>
      <w:r>
        <w:rPr>
          <w:spacing w:val="-3"/>
          <w:sz w:val="20"/>
        </w:rPr>
        <w:t> </w:t>
      </w:r>
      <w:r>
        <w:rPr>
          <w:sz w:val="20"/>
        </w:rPr>
        <w:t>that</w:t>
      </w:r>
      <w:r>
        <w:rPr>
          <w:spacing w:val="-4"/>
          <w:sz w:val="20"/>
        </w:rPr>
        <w:t> </w:t>
      </w:r>
      <w:r>
        <w:rPr>
          <w:sz w:val="20"/>
        </w:rPr>
        <w:t>they</w:t>
      </w:r>
      <w:r>
        <w:rPr>
          <w:spacing w:val="-3"/>
          <w:sz w:val="20"/>
        </w:rPr>
        <w:t> </w:t>
      </w:r>
      <w:r>
        <w:rPr>
          <w:sz w:val="20"/>
        </w:rPr>
        <w:t>would</w:t>
      </w:r>
      <w:r>
        <w:rPr>
          <w:spacing w:val="-3"/>
          <w:sz w:val="20"/>
        </w:rPr>
        <w:t> </w:t>
      </w:r>
      <w:r>
        <w:rPr>
          <w:sz w:val="20"/>
        </w:rPr>
        <w:t>not</w:t>
      </w:r>
      <w:r>
        <w:rPr>
          <w:spacing w:val="-5"/>
          <w:sz w:val="20"/>
        </w:rPr>
        <w:t> </w:t>
      </w:r>
      <w:r>
        <w:rPr>
          <w:sz w:val="20"/>
        </w:rPr>
        <w:t>relinquish</w:t>
      </w:r>
      <w:r>
        <w:rPr>
          <w:spacing w:val="-3"/>
          <w:sz w:val="20"/>
        </w:rPr>
        <w:t> </w:t>
      </w:r>
      <w:r>
        <w:rPr>
          <w:sz w:val="20"/>
        </w:rPr>
        <w:t>control</w:t>
      </w:r>
      <w:r>
        <w:rPr>
          <w:spacing w:val="-4"/>
          <w:sz w:val="20"/>
        </w:rPr>
        <w:t> </w:t>
      </w:r>
      <w:r>
        <w:rPr>
          <w:sz w:val="20"/>
        </w:rPr>
        <w:t>of</w:t>
      </w:r>
      <w:r>
        <w:rPr>
          <w:spacing w:val="-5"/>
          <w:sz w:val="20"/>
        </w:rPr>
        <w:t> </w:t>
      </w:r>
      <w:r>
        <w:rPr>
          <w:sz w:val="20"/>
        </w:rPr>
        <w:t>the</w:t>
      </w:r>
      <w:r>
        <w:rPr>
          <w:spacing w:val="-3"/>
          <w:sz w:val="20"/>
        </w:rPr>
        <w:t> </w:t>
      </w:r>
      <w:r>
        <w:rPr>
          <w:sz w:val="20"/>
        </w:rPr>
        <w:t>KRN Board;</w:t>
      </w:r>
      <w:r>
        <w:rPr>
          <w:spacing w:val="-2"/>
          <w:sz w:val="20"/>
        </w:rPr>
        <w:t> </w:t>
      </w:r>
      <w:r>
        <w:rPr>
          <w:sz w:val="20"/>
        </w:rPr>
        <w:t>and</w:t>
      </w:r>
    </w:p>
    <w:p>
      <w:pPr>
        <w:pStyle w:val="BodyText"/>
        <w:spacing w:before="9"/>
        <w:rPr>
          <w:sz w:val="21"/>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r>
        <w:rPr>
          <w:sz w:val="20"/>
        </w:rPr>
        <w:t>began to treat KRN like their own private</w:t>
      </w:r>
      <w:r>
        <w:rPr>
          <w:spacing w:val="-9"/>
          <w:sz w:val="20"/>
        </w:rPr>
        <w:t> </w:t>
      </w:r>
      <w:r>
        <w:rPr>
          <w:sz w:val="20"/>
        </w:rPr>
        <w:t>company.</w:t>
      </w:r>
    </w:p>
    <w:p>
      <w:pPr>
        <w:pStyle w:val="BodyText"/>
        <w:spacing w:before="7"/>
        <w:rPr>
          <w:sz w:val="30"/>
        </w:rPr>
      </w:pPr>
    </w:p>
    <w:p>
      <w:pPr>
        <w:pStyle w:val="ListParagraph"/>
        <w:numPr>
          <w:ilvl w:val="0"/>
          <w:numId w:val="4"/>
        </w:numPr>
        <w:tabs>
          <w:tab w:pos="839" w:val="left" w:leader="none"/>
          <w:tab w:pos="841" w:val="left" w:leader="none"/>
        </w:tabs>
        <w:spacing w:line="240" w:lineRule="auto" w:before="0" w:after="0"/>
        <w:ind w:left="840" w:right="0" w:hanging="721"/>
        <w:jc w:val="left"/>
        <w:rPr>
          <w:sz w:val="20"/>
        </w:rPr>
      </w:pPr>
      <w:r>
        <w:rPr>
          <w:sz w:val="20"/>
          <w:u w:val="single"/>
        </w:rPr>
        <w:t>2019 - Rowan’s Efforts to Attempts to Have Independent Directors Appointed</w:t>
      </w:r>
      <w:r>
        <w:rPr>
          <w:spacing w:val="-15"/>
          <w:sz w:val="20"/>
          <w:u w:val="single"/>
        </w:rPr>
        <w:t> </w:t>
      </w:r>
      <w:r>
        <w:rPr>
          <w:sz w:val="20"/>
          <w:u w:val="single"/>
        </w:rPr>
        <w:t>Rejected</w:t>
      </w:r>
    </w:p>
    <w:p>
      <w:pPr>
        <w:pStyle w:val="BodyText"/>
        <w:spacing w:before="9"/>
        <w:rPr>
          <w:sz w:val="22"/>
        </w:rPr>
      </w:pPr>
    </w:p>
    <w:p>
      <w:pPr>
        <w:pStyle w:val="ListParagraph"/>
        <w:numPr>
          <w:ilvl w:val="0"/>
          <w:numId w:val="1"/>
        </w:numPr>
        <w:tabs>
          <w:tab w:pos="839" w:val="left" w:leader="none"/>
          <w:tab w:pos="841" w:val="left" w:leader="none"/>
        </w:tabs>
        <w:spacing w:line="360" w:lineRule="auto" w:before="94" w:after="0"/>
        <w:ind w:left="840" w:right="1158" w:hanging="721"/>
        <w:jc w:val="left"/>
        <w:rPr>
          <w:sz w:val="20"/>
        </w:rPr>
      </w:pPr>
      <w:r>
        <w:rPr>
          <w:sz w:val="20"/>
        </w:rPr>
        <w:t>Rowan</w:t>
      </w:r>
      <w:r>
        <w:rPr>
          <w:spacing w:val="-10"/>
          <w:sz w:val="20"/>
        </w:rPr>
        <w:t> </w:t>
      </w:r>
      <w:r>
        <w:rPr>
          <w:sz w:val="20"/>
        </w:rPr>
        <w:t>knew</w:t>
      </w:r>
      <w:r>
        <w:rPr>
          <w:spacing w:val="-9"/>
          <w:sz w:val="20"/>
        </w:rPr>
        <w:t> </w:t>
      </w:r>
      <w:r>
        <w:rPr>
          <w:sz w:val="20"/>
        </w:rPr>
        <w:t>that</w:t>
      </w:r>
      <w:r>
        <w:rPr>
          <w:spacing w:val="-8"/>
          <w:sz w:val="20"/>
        </w:rPr>
        <w:t> </w:t>
      </w:r>
      <w:r>
        <w:rPr>
          <w:sz w:val="20"/>
        </w:rPr>
        <w:t>the</w:t>
      </w:r>
      <w:r>
        <w:rPr>
          <w:spacing w:val="-9"/>
          <w:sz w:val="20"/>
        </w:rPr>
        <w:t> </w:t>
      </w:r>
      <w:r>
        <w:rPr>
          <w:sz w:val="20"/>
        </w:rPr>
        <w:t>KRN</w:t>
      </w:r>
      <w:r>
        <w:rPr>
          <w:spacing w:val="-9"/>
          <w:sz w:val="20"/>
        </w:rPr>
        <w:t> </w:t>
      </w:r>
      <w:r>
        <w:rPr>
          <w:sz w:val="20"/>
        </w:rPr>
        <w:t>Board</w:t>
      </w:r>
      <w:r>
        <w:rPr>
          <w:spacing w:val="-9"/>
          <w:sz w:val="20"/>
        </w:rPr>
        <w:t> </w:t>
      </w:r>
      <w:r>
        <w:rPr>
          <w:sz w:val="20"/>
        </w:rPr>
        <w:t>had</w:t>
      </w:r>
      <w:r>
        <w:rPr>
          <w:spacing w:val="-8"/>
          <w:sz w:val="20"/>
        </w:rPr>
        <w:t> </w:t>
      </w:r>
      <w:r>
        <w:rPr>
          <w:sz w:val="20"/>
        </w:rPr>
        <w:t>to</w:t>
      </w:r>
      <w:r>
        <w:rPr>
          <w:spacing w:val="-9"/>
          <w:sz w:val="20"/>
        </w:rPr>
        <w:t> </w:t>
      </w:r>
      <w:r>
        <w:rPr>
          <w:sz w:val="20"/>
        </w:rPr>
        <w:t>be</w:t>
      </w:r>
      <w:r>
        <w:rPr>
          <w:spacing w:val="-9"/>
          <w:sz w:val="20"/>
        </w:rPr>
        <w:t> </w:t>
      </w:r>
      <w:r>
        <w:rPr>
          <w:sz w:val="20"/>
        </w:rPr>
        <w:t>brought</w:t>
      </w:r>
      <w:r>
        <w:rPr>
          <w:spacing w:val="-8"/>
          <w:sz w:val="20"/>
        </w:rPr>
        <w:t> </w:t>
      </w:r>
      <w:r>
        <w:rPr>
          <w:sz w:val="20"/>
        </w:rPr>
        <w:t>back</w:t>
      </w:r>
      <w:r>
        <w:rPr>
          <w:spacing w:val="-7"/>
          <w:sz w:val="20"/>
        </w:rPr>
        <w:t> </w:t>
      </w:r>
      <w:r>
        <w:rPr>
          <w:sz w:val="20"/>
        </w:rPr>
        <w:t>into</w:t>
      </w:r>
      <w:r>
        <w:rPr>
          <w:spacing w:val="-10"/>
          <w:sz w:val="20"/>
        </w:rPr>
        <w:t> </w:t>
      </w:r>
      <w:r>
        <w:rPr>
          <w:sz w:val="20"/>
        </w:rPr>
        <w:t>compliance</w:t>
      </w:r>
      <w:r>
        <w:rPr>
          <w:spacing w:val="-8"/>
          <w:sz w:val="20"/>
        </w:rPr>
        <w:t> </w:t>
      </w:r>
      <w:r>
        <w:rPr>
          <w:sz w:val="20"/>
        </w:rPr>
        <w:t>with</w:t>
      </w:r>
      <w:r>
        <w:rPr>
          <w:spacing w:val="-8"/>
          <w:sz w:val="20"/>
        </w:rPr>
        <w:t> </w:t>
      </w:r>
      <w:r>
        <w:rPr>
          <w:sz w:val="20"/>
        </w:rPr>
        <w:t>Securities</w:t>
      </w:r>
      <w:r>
        <w:rPr>
          <w:spacing w:val="-8"/>
          <w:sz w:val="20"/>
        </w:rPr>
        <w:t> </w:t>
      </w:r>
      <w:r>
        <w:rPr>
          <w:sz w:val="20"/>
        </w:rPr>
        <w:t>Laws</w:t>
      </w:r>
      <w:r>
        <w:rPr>
          <w:spacing w:val="-8"/>
          <w:sz w:val="20"/>
        </w:rPr>
        <w:t> </w:t>
      </w:r>
      <w:r>
        <w:rPr>
          <w:sz w:val="20"/>
        </w:rPr>
        <w:t>and TSX Rules by filling the three (3) vacancies by appointing three (3) new, independent directors.</w:t>
      </w:r>
      <w:r>
        <w:rPr>
          <w:spacing w:val="36"/>
          <w:sz w:val="20"/>
        </w:rPr>
        <w:t> </w:t>
      </w:r>
      <w:r>
        <w:rPr>
          <w:sz w:val="20"/>
        </w:rPr>
        <w:t>I</w:t>
      </w:r>
    </w:p>
    <w:p>
      <w:pPr>
        <w:spacing w:after="0" w:line="360" w:lineRule="auto"/>
        <w:jc w:val="left"/>
        <w:rPr>
          <w:sz w:val="20"/>
        </w:rPr>
        <w:sectPr>
          <w:pgSz w:w="12240" w:h="15840"/>
          <w:pgMar w:header="0" w:footer="1259" w:top="1220" w:bottom="1440" w:left="1320" w:right="280"/>
        </w:sectPr>
      </w:pPr>
    </w:p>
    <w:p>
      <w:pPr>
        <w:pStyle w:val="BodyText"/>
        <w:spacing w:line="360" w:lineRule="auto" w:before="75"/>
        <w:ind w:left="840" w:right="1085"/>
      </w:pPr>
      <w:r>
        <w:rPr/>
        <w:t>am advised by Rowan, and verily believe, that Rowan advised Varma that he was going to identify and interview appropriate candidates.</w:t>
      </w:r>
    </w:p>
    <w:p>
      <w:pPr>
        <w:pStyle w:val="BodyText"/>
        <w:spacing w:before="10"/>
      </w:pPr>
    </w:p>
    <w:p>
      <w:pPr>
        <w:pStyle w:val="ListParagraph"/>
        <w:numPr>
          <w:ilvl w:val="0"/>
          <w:numId w:val="1"/>
        </w:numPr>
        <w:tabs>
          <w:tab w:pos="840" w:val="left" w:leader="none"/>
        </w:tabs>
        <w:spacing w:line="360" w:lineRule="auto" w:before="0" w:after="0"/>
        <w:ind w:left="839" w:right="1157" w:hanging="720"/>
        <w:jc w:val="both"/>
        <w:rPr>
          <w:sz w:val="20"/>
        </w:rPr>
      </w:pPr>
      <w:r>
        <w:rPr>
          <w:sz w:val="20"/>
        </w:rPr>
        <w:t>From February 2019 until May 2019, Rowan identified, interviewed, and presented three (3) qualified, independent candidates to fill the three (3) vacancies. As CEO, I also attended most of these</w:t>
      </w:r>
      <w:r>
        <w:rPr>
          <w:spacing w:val="-2"/>
          <w:sz w:val="20"/>
        </w:rPr>
        <w:t> </w:t>
      </w:r>
      <w:r>
        <w:rPr>
          <w:sz w:val="20"/>
        </w:rPr>
        <w:t>interviews.</w:t>
      </w:r>
    </w:p>
    <w:p>
      <w:pPr>
        <w:pStyle w:val="BodyText"/>
        <w:spacing w:before="10"/>
      </w:pPr>
    </w:p>
    <w:p>
      <w:pPr>
        <w:pStyle w:val="ListParagraph"/>
        <w:numPr>
          <w:ilvl w:val="0"/>
          <w:numId w:val="1"/>
        </w:numPr>
        <w:tabs>
          <w:tab w:pos="840" w:val="left" w:leader="none"/>
        </w:tabs>
        <w:spacing w:line="360" w:lineRule="auto" w:before="0" w:after="0"/>
        <w:ind w:left="839" w:right="1157" w:hanging="721"/>
        <w:jc w:val="both"/>
        <w:rPr>
          <w:sz w:val="20"/>
        </w:rPr>
      </w:pPr>
      <w:r>
        <w:rPr>
          <w:sz w:val="20"/>
        </w:rPr>
        <w:t>After the interviews confirmed each of the three (3) candidates were qualified and independent, Rowan presented the three (3) candidates to Varma for</w:t>
      </w:r>
      <w:r>
        <w:rPr>
          <w:spacing w:val="-12"/>
          <w:sz w:val="20"/>
        </w:rPr>
        <w:t> </w:t>
      </w:r>
      <w:r>
        <w:rPr>
          <w:sz w:val="20"/>
        </w:rPr>
        <w:t>consideration.</w:t>
      </w:r>
    </w:p>
    <w:p>
      <w:pPr>
        <w:pStyle w:val="BodyText"/>
        <w:spacing w:before="10"/>
      </w:pPr>
    </w:p>
    <w:p>
      <w:pPr>
        <w:pStyle w:val="ListParagraph"/>
        <w:numPr>
          <w:ilvl w:val="0"/>
          <w:numId w:val="1"/>
        </w:numPr>
        <w:tabs>
          <w:tab w:pos="840" w:val="left" w:leader="none"/>
        </w:tabs>
        <w:spacing w:line="360" w:lineRule="auto" w:before="0" w:after="0"/>
        <w:ind w:left="839" w:right="1157" w:hanging="720"/>
        <w:jc w:val="both"/>
        <w:rPr>
          <w:sz w:val="20"/>
        </w:rPr>
      </w:pPr>
      <w:r>
        <w:rPr>
          <w:sz w:val="20"/>
        </w:rPr>
        <w:t>After Varma rejected the first three (3) candidates out of hand, Varma said he might consider a Canadian mining engineer as a fourth</w:t>
      </w:r>
      <w:r>
        <w:rPr>
          <w:spacing w:val="-8"/>
          <w:sz w:val="20"/>
        </w:rPr>
        <w:t> </w:t>
      </w:r>
      <w:r>
        <w:rPr>
          <w:sz w:val="20"/>
        </w:rPr>
        <w:t>candidate.</w:t>
      </w:r>
    </w:p>
    <w:p>
      <w:pPr>
        <w:pStyle w:val="BodyText"/>
        <w:spacing w:before="10"/>
      </w:pPr>
    </w:p>
    <w:p>
      <w:pPr>
        <w:pStyle w:val="ListParagraph"/>
        <w:numPr>
          <w:ilvl w:val="0"/>
          <w:numId w:val="1"/>
        </w:numPr>
        <w:tabs>
          <w:tab w:pos="840" w:val="left" w:leader="none"/>
        </w:tabs>
        <w:spacing w:line="360" w:lineRule="auto" w:before="0" w:after="0"/>
        <w:ind w:left="839" w:right="1157" w:hanging="721"/>
        <w:jc w:val="both"/>
        <w:rPr>
          <w:sz w:val="20"/>
        </w:rPr>
      </w:pPr>
      <w:r>
        <w:rPr>
          <w:sz w:val="20"/>
        </w:rPr>
        <w:t>I am advised by Rowan, and verily believe, that Rowan identified, interviewed, and presented an experienced</w:t>
      </w:r>
      <w:r>
        <w:rPr>
          <w:spacing w:val="-11"/>
          <w:sz w:val="20"/>
        </w:rPr>
        <w:t> </w:t>
      </w:r>
      <w:r>
        <w:rPr>
          <w:sz w:val="20"/>
        </w:rPr>
        <w:t>Canadian</w:t>
      </w:r>
      <w:r>
        <w:rPr>
          <w:spacing w:val="-11"/>
          <w:sz w:val="20"/>
        </w:rPr>
        <w:t> </w:t>
      </w:r>
      <w:r>
        <w:rPr>
          <w:sz w:val="20"/>
        </w:rPr>
        <w:t>mining</w:t>
      </w:r>
      <w:r>
        <w:rPr>
          <w:spacing w:val="-10"/>
          <w:sz w:val="20"/>
        </w:rPr>
        <w:t> </w:t>
      </w:r>
      <w:r>
        <w:rPr>
          <w:sz w:val="20"/>
        </w:rPr>
        <w:t>engineer</w:t>
      </w:r>
      <w:r>
        <w:rPr>
          <w:spacing w:val="-10"/>
          <w:sz w:val="20"/>
        </w:rPr>
        <w:t> </w:t>
      </w:r>
      <w:r>
        <w:rPr>
          <w:sz w:val="20"/>
        </w:rPr>
        <w:t>to</w:t>
      </w:r>
      <w:r>
        <w:rPr>
          <w:spacing w:val="-9"/>
          <w:sz w:val="20"/>
        </w:rPr>
        <w:t> </w:t>
      </w:r>
      <w:r>
        <w:rPr>
          <w:sz w:val="20"/>
        </w:rPr>
        <w:t>Varma</w:t>
      </w:r>
      <w:r>
        <w:rPr>
          <w:spacing w:val="-11"/>
          <w:sz w:val="20"/>
        </w:rPr>
        <w:t> </w:t>
      </w:r>
      <w:r>
        <w:rPr>
          <w:sz w:val="20"/>
        </w:rPr>
        <w:t>as</w:t>
      </w:r>
      <w:r>
        <w:rPr>
          <w:spacing w:val="-11"/>
          <w:sz w:val="20"/>
        </w:rPr>
        <w:t> </w:t>
      </w:r>
      <w:r>
        <w:rPr>
          <w:sz w:val="20"/>
        </w:rPr>
        <w:t>a</w:t>
      </w:r>
      <w:r>
        <w:rPr>
          <w:spacing w:val="-11"/>
          <w:sz w:val="20"/>
        </w:rPr>
        <w:t> </w:t>
      </w:r>
      <w:r>
        <w:rPr>
          <w:sz w:val="20"/>
        </w:rPr>
        <w:t>potential</w:t>
      </w:r>
      <w:r>
        <w:rPr>
          <w:spacing w:val="-10"/>
          <w:sz w:val="20"/>
        </w:rPr>
        <w:t> </w:t>
      </w:r>
      <w:r>
        <w:rPr>
          <w:sz w:val="20"/>
        </w:rPr>
        <w:t>candidate,</w:t>
      </w:r>
      <w:r>
        <w:rPr>
          <w:spacing w:val="-11"/>
          <w:sz w:val="20"/>
        </w:rPr>
        <w:t> </w:t>
      </w:r>
      <w:r>
        <w:rPr>
          <w:sz w:val="20"/>
        </w:rPr>
        <w:t>but</w:t>
      </w:r>
      <w:r>
        <w:rPr>
          <w:spacing w:val="-11"/>
          <w:sz w:val="20"/>
        </w:rPr>
        <w:t> </w:t>
      </w:r>
      <w:r>
        <w:rPr>
          <w:sz w:val="20"/>
        </w:rPr>
        <w:t>Varma</w:t>
      </w:r>
      <w:r>
        <w:rPr>
          <w:spacing w:val="-10"/>
          <w:sz w:val="20"/>
        </w:rPr>
        <w:t> </w:t>
      </w:r>
      <w:r>
        <w:rPr>
          <w:sz w:val="20"/>
        </w:rPr>
        <w:t>also</w:t>
      </w:r>
      <w:r>
        <w:rPr>
          <w:spacing w:val="-10"/>
          <w:sz w:val="20"/>
        </w:rPr>
        <w:t> </w:t>
      </w:r>
      <w:r>
        <w:rPr>
          <w:sz w:val="20"/>
        </w:rPr>
        <w:t>rejected this candidate out of</w:t>
      </w:r>
      <w:r>
        <w:rPr>
          <w:spacing w:val="-4"/>
          <w:sz w:val="20"/>
        </w:rPr>
        <w:t> </w:t>
      </w:r>
      <w:r>
        <w:rPr>
          <w:sz w:val="20"/>
        </w:rPr>
        <w:t>hand.</w:t>
      </w:r>
    </w:p>
    <w:p>
      <w:pPr>
        <w:pStyle w:val="BodyText"/>
        <w:rPr>
          <w:sz w:val="21"/>
        </w:rPr>
      </w:pPr>
    </w:p>
    <w:p>
      <w:pPr>
        <w:pStyle w:val="ListParagraph"/>
        <w:numPr>
          <w:ilvl w:val="0"/>
          <w:numId w:val="1"/>
        </w:numPr>
        <w:tabs>
          <w:tab w:pos="840" w:val="left" w:leader="none"/>
        </w:tabs>
        <w:spacing w:line="360" w:lineRule="auto" w:before="0" w:after="0"/>
        <w:ind w:left="839" w:right="1157" w:hanging="720"/>
        <w:jc w:val="both"/>
        <w:rPr>
          <w:sz w:val="20"/>
        </w:rPr>
      </w:pPr>
      <w:r>
        <w:rPr>
          <w:sz w:val="20"/>
        </w:rPr>
        <w:t>I am advised by Rowan, and verily believe, that after Varma rejected and dismissed all four (4) candidates out of hand, Varma told Rowan that no new directors would be appointed to the KRN Board. Accordingly, none of the three (3) vacancies on the KRN Board were filled and the KRN Board continued to have a majority of GSFC</w:t>
      </w:r>
      <w:r>
        <w:rPr>
          <w:spacing w:val="-10"/>
          <w:sz w:val="20"/>
        </w:rPr>
        <w:t> </w:t>
      </w:r>
      <w:r>
        <w:rPr>
          <w:sz w:val="20"/>
        </w:rPr>
        <w:t>Nominees.</w:t>
      </w:r>
    </w:p>
    <w:p>
      <w:pPr>
        <w:pStyle w:val="BodyText"/>
        <w:spacing w:before="10"/>
      </w:pPr>
    </w:p>
    <w:p>
      <w:pPr>
        <w:pStyle w:val="ListParagraph"/>
        <w:numPr>
          <w:ilvl w:val="0"/>
          <w:numId w:val="1"/>
        </w:numPr>
        <w:tabs>
          <w:tab w:pos="839" w:val="left" w:leader="none"/>
          <w:tab w:pos="840" w:val="left" w:leader="none"/>
        </w:tabs>
        <w:spacing w:line="240" w:lineRule="auto" w:before="0" w:after="0"/>
        <w:ind w:left="839" w:right="0" w:hanging="721"/>
        <w:jc w:val="left"/>
        <w:rPr>
          <w:sz w:val="20"/>
        </w:rPr>
      </w:pPr>
      <w:r>
        <w:rPr>
          <w:sz w:val="20"/>
        </w:rPr>
        <w:t>I verily believe that</w:t>
      </w:r>
      <w:r>
        <w:rPr>
          <w:spacing w:val="-5"/>
          <w:sz w:val="20"/>
        </w:rPr>
        <w:t> </w:t>
      </w:r>
      <w:r>
        <w:rPr>
          <w:sz w:val="20"/>
        </w:rPr>
        <w:t>Varma:</w:t>
      </w:r>
    </w:p>
    <w:p>
      <w:pPr>
        <w:pStyle w:val="BodyText"/>
        <w:spacing w:before="10"/>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r>
        <w:rPr>
          <w:sz w:val="20"/>
        </w:rPr>
        <w:t>had no intention of ever filling any of the three (3)</w:t>
      </w:r>
      <w:r>
        <w:rPr>
          <w:spacing w:val="-12"/>
          <w:sz w:val="20"/>
        </w:rPr>
        <w:t> </w:t>
      </w:r>
      <w:r>
        <w:rPr>
          <w:sz w:val="20"/>
        </w:rPr>
        <w:t>vacancies;</w:t>
      </w:r>
    </w:p>
    <w:p>
      <w:pPr>
        <w:pStyle w:val="BodyText"/>
        <w:spacing w:before="9"/>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r>
        <w:rPr>
          <w:sz w:val="20"/>
        </w:rPr>
        <w:t>rejected all candidates proposed by Rowan in order to keep control of the KRN</w:t>
      </w:r>
      <w:r>
        <w:rPr>
          <w:spacing w:val="-18"/>
          <w:sz w:val="20"/>
        </w:rPr>
        <w:t> </w:t>
      </w:r>
      <w:r>
        <w:rPr>
          <w:sz w:val="20"/>
        </w:rPr>
        <w:t>Board;</w:t>
      </w:r>
    </w:p>
    <w:p>
      <w:pPr>
        <w:pStyle w:val="BodyText"/>
        <w:spacing w:before="8"/>
        <w:rPr>
          <w:sz w:val="30"/>
        </w:rPr>
      </w:pPr>
    </w:p>
    <w:p>
      <w:pPr>
        <w:pStyle w:val="ListParagraph"/>
        <w:numPr>
          <w:ilvl w:val="1"/>
          <w:numId w:val="1"/>
        </w:numPr>
        <w:tabs>
          <w:tab w:pos="1559" w:val="left" w:leader="none"/>
          <w:tab w:pos="1560" w:val="left" w:leader="none"/>
        </w:tabs>
        <w:spacing w:line="350" w:lineRule="auto" w:before="0" w:after="0"/>
        <w:ind w:left="1559" w:right="1157" w:hanging="721"/>
        <w:jc w:val="left"/>
        <w:rPr>
          <w:rFonts w:ascii="Symbol" w:hAnsi="Symbol"/>
          <w:sz w:val="20"/>
        </w:rPr>
      </w:pPr>
      <w:r>
        <w:rPr>
          <w:sz w:val="20"/>
        </w:rPr>
        <w:t>was being merely paying lip service to the need to appoint independent directors to the KRN</w:t>
      </w:r>
      <w:r>
        <w:rPr>
          <w:spacing w:val="-1"/>
          <w:sz w:val="20"/>
        </w:rPr>
        <w:t> </w:t>
      </w:r>
      <w:r>
        <w:rPr>
          <w:sz w:val="20"/>
        </w:rPr>
        <w:t>Board;</w:t>
      </w:r>
    </w:p>
    <w:p>
      <w:pPr>
        <w:pStyle w:val="BodyText"/>
        <w:spacing w:before="9"/>
        <w:rPr>
          <w:sz w:val="21"/>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r>
        <w:rPr>
          <w:sz w:val="20"/>
        </w:rPr>
        <w:t>knowingly breached Securities Laws and TSX</w:t>
      </w:r>
      <w:r>
        <w:rPr>
          <w:spacing w:val="-5"/>
          <w:sz w:val="20"/>
        </w:rPr>
        <w:t> </w:t>
      </w:r>
      <w:r>
        <w:rPr>
          <w:sz w:val="20"/>
        </w:rPr>
        <w:t>Rules;</w:t>
      </w:r>
    </w:p>
    <w:p>
      <w:pPr>
        <w:pStyle w:val="BodyText"/>
        <w:spacing w:before="8"/>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r>
        <w:rPr>
          <w:sz w:val="20"/>
        </w:rPr>
        <w:t>expected that GSFC, and the GSFC Nominees, could get away with it;</w:t>
      </w:r>
      <w:r>
        <w:rPr>
          <w:spacing w:val="-17"/>
          <w:sz w:val="20"/>
        </w:rPr>
        <w:t> </w:t>
      </w:r>
      <w:r>
        <w:rPr>
          <w:sz w:val="20"/>
        </w:rPr>
        <w:t>and</w:t>
      </w:r>
    </w:p>
    <w:p>
      <w:pPr>
        <w:pStyle w:val="BodyText"/>
        <w:spacing w:before="9"/>
        <w:rPr>
          <w:sz w:val="30"/>
        </w:rPr>
      </w:pPr>
    </w:p>
    <w:p>
      <w:pPr>
        <w:pStyle w:val="ListParagraph"/>
        <w:numPr>
          <w:ilvl w:val="1"/>
          <w:numId w:val="1"/>
        </w:numPr>
        <w:tabs>
          <w:tab w:pos="1558" w:val="left" w:leader="none"/>
          <w:tab w:pos="1560" w:val="left" w:leader="none"/>
        </w:tabs>
        <w:spacing w:line="240" w:lineRule="auto" w:before="0" w:after="0"/>
        <w:ind w:left="1559" w:right="0" w:hanging="722"/>
        <w:jc w:val="left"/>
        <w:rPr>
          <w:rFonts w:ascii="Symbol" w:hAnsi="Symbol"/>
          <w:sz w:val="20"/>
        </w:rPr>
      </w:pPr>
      <w:r>
        <w:rPr>
          <w:sz w:val="20"/>
        </w:rPr>
        <w:t>did everything in his power to ensure GSFC maintained control of the KRN</w:t>
      </w:r>
      <w:r>
        <w:rPr>
          <w:spacing w:val="-15"/>
          <w:sz w:val="20"/>
        </w:rPr>
        <w:t> </w:t>
      </w:r>
      <w:r>
        <w:rPr>
          <w:sz w:val="20"/>
        </w:rPr>
        <w:t>Board.</w:t>
      </w:r>
    </w:p>
    <w:p>
      <w:pPr>
        <w:pStyle w:val="BodyText"/>
        <w:spacing w:before="7"/>
        <w:rPr>
          <w:sz w:val="30"/>
        </w:rPr>
      </w:pPr>
    </w:p>
    <w:p>
      <w:pPr>
        <w:pStyle w:val="ListParagraph"/>
        <w:numPr>
          <w:ilvl w:val="0"/>
          <w:numId w:val="1"/>
        </w:numPr>
        <w:tabs>
          <w:tab w:pos="840" w:val="left" w:leader="none"/>
        </w:tabs>
        <w:spacing w:line="360" w:lineRule="auto" w:before="1" w:after="0"/>
        <w:ind w:left="838" w:right="1158" w:hanging="720"/>
        <w:jc w:val="both"/>
        <w:rPr>
          <w:sz w:val="20"/>
        </w:rPr>
      </w:pPr>
      <w:r>
        <w:rPr>
          <w:sz w:val="20"/>
        </w:rPr>
        <w:t>Favreau had a personal relationship with Varma, and told me, on many occasions, after January 16, 2019, that “</w:t>
      </w:r>
      <w:r>
        <w:rPr>
          <w:i/>
          <w:sz w:val="20"/>
        </w:rPr>
        <w:t>GSFC just doesn’t want to give up control of the board</w:t>
      </w:r>
      <w:r>
        <w:rPr>
          <w:sz w:val="20"/>
        </w:rPr>
        <w:t>”. This statement was consistent with Varma’s actions and I verily believe that Varma has made similar statements to Favreau.</w:t>
      </w:r>
    </w:p>
    <w:p>
      <w:pPr>
        <w:spacing w:after="0" w:line="360" w:lineRule="auto"/>
        <w:jc w:val="both"/>
        <w:rPr>
          <w:sz w:val="20"/>
        </w:rPr>
        <w:sectPr>
          <w:footerReference w:type="default" r:id="rId11"/>
          <w:pgSz w:w="12240" w:h="15840"/>
          <w:pgMar w:footer="1259" w:header="0" w:top="1220" w:bottom="1440" w:left="1320" w:right="280"/>
          <w:pgNumType w:start="12"/>
        </w:sectPr>
      </w:pPr>
    </w:p>
    <w:p>
      <w:pPr>
        <w:pStyle w:val="ListParagraph"/>
        <w:numPr>
          <w:ilvl w:val="0"/>
          <w:numId w:val="1"/>
        </w:numPr>
        <w:tabs>
          <w:tab w:pos="839" w:val="left" w:leader="none"/>
          <w:tab w:pos="841" w:val="left" w:leader="none"/>
        </w:tabs>
        <w:spacing w:line="360" w:lineRule="auto" w:before="75" w:after="0"/>
        <w:ind w:left="840" w:right="1157" w:hanging="721"/>
        <w:jc w:val="left"/>
        <w:rPr>
          <w:i/>
          <w:sz w:val="20"/>
        </w:rPr>
      </w:pPr>
      <w:r>
        <w:rPr>
          <w:sz w:val="20"/>
        </w:rPr>
        <w:t>I</w:t>
      </w:r>
      <w:r>
        <w:rPr>
          <w:spacing w:val="-9"/>
          <w:sz w:val="20"/>
        </w:rPr>
        <w:t> </w:t>
      </w:r>
      <w:r>
        <w:rPr>
          <w:sz w:val="20"/>
        </w:rPr>
        <w:t>am</w:t>
      </w:r>
      <w:r>
        <w:rPr>
          <w:spacing w:val="-8"/>
          <w:sz w:val="20"/>
        </w:rPr>
        <w:t> </w:t>
      </w:r>
      <w:r>
        <w:rPr>
          <w:sz w:val="20"/>
        </w:rPr>
        <w:t>advised</w:t>
      </w:r>
      <w:r>
        <w:rPr>
          <w:spacing w:val="-9"/>
          <w:sz w:val="20"/>
        </w:rPr>
        <w:t> </w:t>
      </w:r>
      <w:r>
        <w:rPr>
          <w:sz w:val="20"/>
        </w:rPr>
        <w:t>by</w:t>
      </w:r>
      <w:r>
        <w:rPr>
          <w:spacing w:val="-8"/>
          <w:sz w:val="20"/>
        </w:rPr>
        <w:t> </w:t>
      </w:r>
      <w:r>
        <w:rPr>
          <w:sz w:val="20"/>
        </w:rPr>
        <w:t>Peter</w:t>
      </w:r>
      <w:r>
        <w:rPr>
          <w:spacing w:val="-7"/>
          <w:sz w:val="20"/>
        </w:rPr>
        <w:t> </w:t>
      </w:r>
      <w:r>
        <w:rPr>
          <w:sz w:val="20"/>
        </w:rPr>
        <w:t>Matson,</w:t>
      </w:r>
      <w:r>
        <w:rPr>
          <w:spacing w:val="-8"/>
          <w:sz w:val="20"/>
        </w:rPr>
        <w:t> </w:t>
      </w:r>
      <w:r>
        <w:rPr>
          <w:sz w:val="20"/>
        </w:rPr>
        <w:t>and</w:t>
      </w:r>
      <w:r>
        <w:rPr>
          <w:spacing w:val="-9"/>
          <w:sz w:val="20"/>
        </w:rPr>
        <w:t> </w:t>
      </w:r>
      <w:r>
        <w:rPr>
          <w:sz w:val="20"/>
        </w:rPr>
        <w:t>verily</w:t>
      </w:r>
      <w:r>
        <w:rPr>
          <w:spacing w:val="-9"/>
          <w:sz w:val="20"/>
        </w:rPr>
        <w:t> </w:t>
      </w:r>
      <w:r>
        <w:rPr>
          <w:sz w:val="20"/>
        </w:rPr>
        <w:t>believe</w:t>
      </w:r>
      <w:r>
        <w:rPr>
          <w:spacing w:val="-8"/>
          <w:sz w:val="20"/>
        </w:rPr>
        <w:t> </w:t>
      </w:r>
      <w:r>
        <w:rPr>
          <w:sz w:val="20"/>
        </w:rPr>
        <w:t>that,</w:t>
      </w:r>
      <w:r>
        <w:rPr>
          <w:spacing w:val="-10"/>
          <w:sz w:val="20"/>
        </w:rPr>
        <w:t> </w:t>
      </w:r>
      <w:r>
        <w:rPr>
          <w:sz w:val="20"/>
        </w:rPr>
        <w:t>Favreau</w:t>
      </w:r>
      <w:r>
        <w:rPr>
          <w:spacing w:val="-8"/>
          <w:sz w:val="20"/>
        </w:rPr>
        <w:t> </w:t>
      </w:r>
      <w:r>
        <w:rPr>
          <w:sz w:val="20"/>
        </w:rPr>
        <w:t>told</w:t>
      </w:r>
      <w:r>
        <w:rPr>
          <w:spacing w:val="-10"/>
          <w:sz w:val="20"/>
        </w:rPr>
        <w:t> </w:t>
      </w:r>
      <w:r>
        <w:rPr>
          <w:sz w:val="20"/>
        </w:rPr>
        <w:t>Peter</w:t>
      </w:r>
      <w:r>
        <w:rPr>
          <w:spacing w:val="-8"/>
          <w:sz w:val="20"/>
        </w:rPr>
        <w:t> </w:t>
      </w:r>
      <w:r>
        <w:rPr>
          <w:sz w:val="20"/>
        </w:rPr>
        <w:t>Matson</w:t>
      </w:r>
      <w:r>
        <w:rPr>
          <w:spacing w:val="-9"/>
          <w:sz w:val="20"/>
        </w:rPr>
        <w:t> </w:t>
      </w:r>
      <w:r>
        <w:rPr>
          <w:sz w:val="20"/>
        </w:rPr>
        <w:t>in</w:t>
      </w:r>
      <w:r>
        <w:rPr>
          <w:spacing w:val="-8"/>
          <w:sz w:val="20"/>
        </w:rPr>
        <w:t> </w:t>
      </w:r>
      <w:r>
        <w:rPr>
          <w:sz w:val="20"/>
        </w:rPr>
        <w:t>early</w:t>
      </w:r>
      <w:r>
        <w:rPr>
          <w:spacing w:val="-9"/>
          <w:sz w:val="20"/>
        </w:rPr>
        <w:t> </w:t>
      </w:r>
      <w:r>
        <w:rPr>
          <w:sz w:val="20"/>
        </w:rPr>
        <w:t>2020</w:t>
      </w:r>
      <w:r>
        <w:rPr>
          <w:spacing w:val="-9"/>
          <w:sz w:val="20"/>
        </w:rPr>
        <w:t> </w:t>
      </w:r>
      <w:r>
        <w:rPr>
          <w:sz w:val="20"/>
        </w:rPr>
        <w:t>that GSFC and Varma “</w:t>
      </w:r>
      <w:r>
        <w:rPr>
          <w:i/>
          <w:sz w:val="20"/>
        </w:rPr>
        <w:t>do not want to give up control of the KRN</w:t>
      </w:r>
      <w:r>
        <w:rPr>
          <w:i/>
          <w:spacing w:val="-15"/>
          <w:sz w:val="20"/>
        </w:rPr>
        <w:t> </w:t>
      </w:r>
      <w:r>
        <w:rPr>
          <w:i/>
          <w:sz w:val="20"/>
        </w:rPr>
        <w:t>Board”.</w:t>
      </w:r>
    </w:p>
    <w:p>
      <w:pPr>
        <w:pStyle w:val="BodyText"/>
        <w:spacing w:before="10"/>
        <w:rPr>
          <w:i/>
        </w:rPr>
      </w:pPr>
    </w:p>
    <w:p>
      <w:pPr>
        <w:pStyle w:val="ListParagraph"/>
        <w:numPr>
          <w:ilvl w:val="0"/>
          <w:numId w:val="4"/>
        </w:numPr>
        <w:tabs>
          <w:tab w:pos="839" w:val="left" w:leader="none"/>
          <w:tab w:pos="840" w:val="left" w:leader="none"/>
        </w:tabs>
        <w:spacing w:line="240" w:lineRule="auto" w:before="0" w:after="0"/>
        <w:ind w:left="839" w:right="0" w:hanging="720"/>
        <w:jc w:val="left"/>
        <w:rPr>
          <w:sz w:val="20"/>
        </w:rPr>
      </w:pPr>
      <w:r>
        <w:rPr>
          <w:sz w:val="20"/>
          <w:u w:val="single"/>
        </w:rPr>
        <w:t>2019 Annual General Meeting – GSFC Maintains Control of KRN</w:t>
      </w:r>
      <w:r>
        <w:rPr>
          <w:spacing w:val="-14"/>
          <w:sz w:val="20"/>
          <w:u w:val="single"/>
        </w:rPr>
        <w:t> </w:t>
      </w:r>
      <w:r>
        <w:rPr>
          <w:sz w:val="20"/>
          <w:u w:val="single"/>
        </w:rPr>
        <w:t>Board</w:t>
      </w:r>
    </w:p>
    <w:p>
      <w:pPr>
        <w:pStyle w:val="BodyText"/>
        <w:spacing w:before="8"/>
        <w:rPr>
          <w:sz w:val="22"/>
        </w:rPr>
      </w:pPr>
    </w:p>
    <w:p>
      <w:pPr>
        <w:pStyle w:val="ListParagraph"/>
        <w:numPr>
          <w:ilvl w:val="0"/>
          <w:numId w:val="1"/>
        </w:numPr>
        <w:tabs>
          <w:tab w:pos="841" w:val="left" w:leader="none"/>
        </w:tabs>
        <w:spacing w:line="360" w:lineRule="auto" w:before="94" w:after="0"/>
        <w:ind w:left="839" w:right="1157" w:hanging="720"/>
        <w:jc w:val="both"/>
        <w:rPr>
          <w:sz w:val="20"/>
        </w:rPr>
      </w:pPr>
      <w:r>
        <w:rPr>
          <w:sz w:val="20"/>
        </w:rPr>
        <w:t>At the annual general meeting of shareholders of KRN held on May 14, 2019 (the “</w:t>
      </w:r>
      <w:r>
        <w:rPr>
          <w:b/>
          <w:sz w:val="20"/>
        </w:rPr>
        <w:t>2019 AGM</w:t>
      </w:r>
      <w:r>
        <w:rPr>
          <w:sz w:val="20"/>
        </w:rPr>
        <w:t>”), GSFC maintained the status quo and control of the KRN Board. Attached and marked as </w:t>
      </w:r>
      <w:r>
        <w:rPr>
          <w:b/>
          <w:sz w:val="20"/>
        </w:rPr>
        <w:t>Exhibit “P” </w:t>
      </w:r>
      <w:r>
        <w:rPr>
          <w:sz w:val="20"/>
        </w:rPr>
        <w:t>to the FDW Affidavit is a copy of the voting results for the 2019</w:t>
      </w:r>
      <w:r>
        <w:rPr>
          <w:spacing w:val="-16"/>
          <w:sz w:val="20"/>
        </w:rPr>
        <w:t> </w:t>
      </w:r>
      <w:r>
        <w:rPr>
          <w:sz w:val="20"/>
        </w:rPr>
        <w:t>AGM.</w:t>
      </w:r>
    </w:p>
    <w:p>
      <w:pPr>
        <w:pStyle w:val="BodyText"/>
        <w:spacing w:before="10"/>
      </w:pPr>
    </w:p>
    <w:p>
      <w:pPr>
        <w:pStyle w:val="ListParagraph"/>
        <w:numPr>
          <w:ilvl w:val="0"/>
          <w:numId w:val="1"/>
        </w:numPr>
        <w:tabs>
          <w:tab w:pos="719" w:val="left" w:leader="none"/>
          <w:tab w:pos="721" w:val="left" w:leader="none"/>
        </w:tabs>
        <w:spacing w:line="240" w:lineRule="auto" w:before="1" w:after="0"/>
        <w:ind w:left="840" w:right="5183" w:hanging="841"/>
        <w:jc w:val="right"/>
        <w:rPr>
          <w:sz w:val="20"/>
        </w:rPr>
      </w:pPr>
      <w:bookmarkStart w:name="56. I verily believe that GSFC and the G" w:id="94"/>
      <w:bookmarkEnd w:id="94"/>
      <w:r>
        <w:rPr/>
      </w:r>
      <w:bookmarkStart w:name="56. I verily believe that GSFC and the G" w:id="95"/>
      <w:bookmarkEnd w:id="95"/>
      <w:r>
        <w:rPr>
          <w:sz w:val="20"/>
        </w:rPr>
        <w:t>I</w:t>
      </w:r>
      <w:r>
        <w:rPr>
          <w:sz w:val="20"/>
        </w:rPr>
        <w:t> verily believe that GSFC and the GSFC</w:t>
      </w:r>
      <w:r>
        <w:rPr>
          <w:spacing w:val="-19"/>
          <w:sz w:val="20"/>
        </w:rPr>
        <w:t> </w:t>
      </w:r>
      <w:r>
        <w:rPr>
          <w:sz w:val="20"/>
        </w:rPr>
        <w:t>Nominees:</w:t>
      </w:r>
    </w:p>
    <w:p>
      <w:pPr>
        <w:pStyle w:val="BodyText"/>
        <w:spacing w:before="10"/>
        <w:rPr>
          <w:sz w:val="30"/>
        </w:rPr>
      </w:pPr>
    </w:p>
    <w:p>
      <w:pPr>
        <w:pStyle w:val="ListParagraph"/>
        <w:numPr>
          <w:ilvl w:val="1"/>
          <w:numId w:val="1"/>
        </w:numPr>
        <w:tabs>
          <w:tab w:pos="719" w:val="left" w:leader="none"/>
          <w:tab w:pos="721" w:val="left" w:leader="none"/>
        </w:tabs>
        <w:spacing w:line="240" w:lineRule="auto" w:before="0" w:after="0"/>
        <w:ind w:left="1559" w:right="5263" w:hanging="1560"/>
        <w:jc w:val="right"/>
        <w:rPr>
          <w:rFonts w:ascii="Symbol" w:hAnsi="Symbol"/>
          <w:sz w:val="20"/>
        </w:rPr>
      </w:pPr>
      <w:bookmarkStart w:name=" intended to keep control of the KRN Bo" w:id="96"/>
      <w:bookmarkEnd w:id="96"/>
      <w:r>
        <w:rPr/>
      </w:r>
      <w:bookmarkStart w:name=" intended to keep control of the KRN Bo" w:id="97"/>
      <w:bookmarkEnd w:id="97"/>
      <w:r>
        <w:rPr>
          <w:sz w:val="20"/>
        </w:rPr>
        <w:t>i</w:t>
      </w:r>
      <w:r>
        <w:rPr>
          <w:sz w:val="20"/>
        </w:rPr>
        <w:t>ntended to keep control of the KRN</w:t>
      </w:r>
      <w:r>
        <w:rPr>
          <w:spacing w:val="-15"/>
          <w:sz w:val="20"/>
        </w:rPr>
        <w:t> </w:t>
      </w:r>
      <w:r>
        <w:rPr>
          <w:sz w:val="20"/>
        </w:rPr>
        <w:t>Board;</w:t>
      </w:r>
    </w:p>
    <w:p>
      <w:pPr>
        <w:pStyle w:val="BodyText"/>
        <w:spacing w:before="9"/>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bookmarkStart w:name=" intentionally did not nominate any ind" w:id="98"/>
      <w:bookmarkEnd w:id="98"/>
      <w:r>
        <w:rPr/>
      </w:r>
      <w:bookmarkStart w:name=" intentionally did not nominate any ind" w:id="99"/>
      <w:bookmarkEnd w:id="99"/>
      <w:r>
        <w:rPr>
          <w:sz w:val="20"/>
        </w:rPr>
        <w:t>i</w:t>
      </w:r>
      <w:r>
        <w:rPr>
          <w:sz w:val="20"/>
        </w:rPr>
        <w:t>ntentionally did not nominate any independent</w:t>
      </w:r>
      <w:r>
        <w:rPr>
          <w:spacing w:val="-6"/>
          <w:sz w:val="20"/>
        </w:rPr>
        <w:t> </w:t>
      </w:r>
      <w:r>
        <w:rPr>
          <w:sz w:val="20"/>
        </w:rPr>
        <w:t>directors;</w:t>
      </w:r>
    </w:p>
    <w:p>
      <w:pPr>
        <w:pStyle w:val="BodyText"/>
        <w:spacing w:before="8"/>
        <w:rPr>
          <w:sz w:val="30"/>
        </w:rPr>
      </w:pPr>
    </w:p>
    <w:p>
      <w:pPr>
        <w:pStyle w:val="ListParagraph"/>
        <w:numPr>
          <w:ilvl w:val="1"/>
          <w:numId w:val="1"/>
        </w:numPr>
        <w:tabs>
          <w:tab w:pos="1559" w:val="left" w:leader="none"/>
          <w:tab w:pos="1560" w:val="left" w:leader="none"/>
        </w:tabs>
        <w:spacing w:line="240" w:lineRule="auto" w:before="1" w:after="0"/>
        <w:ind w:left="1559" w:right="0" w:hanging="721"/>
        <w:jc w:val="left"/>
        <w:rPr>
          <w:rFonts w:ascii="Symbol" w:hAnsi="Symbol"/>
          <w:sz w:val="20"/>
        </w:rPr>
      </w:pPr>
      <w:bookmarkStart w:name=" felt Securities Laws and TSX Rules did" w:id="100"/>
      <w:bookmarkEnd w:id="100"/>
      <w:r>
        <w:rPr/>
      </w:r>
      <w:bookmarkStart w:name=" felt Securities Laws and TSX Rules did" w:id="101"/>
      <w:bookmarkEnd w:id="101"/>
      <w:r>
        <w:rPr>
          <w:sz w:val="20"/>
        </w:rPr>
        <w:t>f</w:t>
      </w:r>
      <w:r>
        <w:rPr>
          <w:sz w:val="20"/>
        </w:rPr>
        <w:t>elt Securities Laws and TSX Rules didn’t apply to them;</w:t>
      </w:r>
      <w:r>
        <w:rPr>
          <w:spacing w:val="-9"/>
          <w:sz w:val="20"/>
        </w:rPr>
        <w:t> </w:t>
      </w:r>
      <w:r>
        <w:rPr>
          <w:sz w:val="20"/>
        </w:rPr>
        <w:t>and</w:t>
      </w:r>
    </w:p>
    <w:p>
      <w:pPr>
        <w:pStyle w:val="BodyText"/>
        <w:spacing w:before="7"/>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r>
        <w:rPr>
          <w:sz w:val="20"/>
        </w:rPr>
        <w:t>misrepresented</w:t>
      </w:r>
      <w:r>
        <w:rPr>
          <w:spacing w:val="-15"/>
          <w:sz w:val="20"/>
        </w:rPr>
        <w:t> </w:t>
      </w:r>
      <w:r>
        <w:rPr>
          <w:sz w:val="20"/>
        </w:rPr>
        <w:t>the</w:t>
      </w:r>
      <w:r>
        <w:rPr>
          <w:spacing w:val="-15"/>
          <w:sz w:val="20"/>
        </w:rPr>
        <w:t> </w:t>
      </w:r>
      <w:r>
        <w:rPr>
          <w:sz w:val="20"/>
        </w:rPr>
        <w:t>independence</w:t>
      </w:r>
      <w:r>
        <w:rPr>
          <w:spacing w:val="-15"/>
          <w:sz w:val="20"/>
        </w:rPr>
        <w:t> </w:t>
      </w:r>
      <w:r>
        <w:rPr>
          <w:sz w:val="20"/>
        </w:rPr>
        <w:t>of</w:t>
      </w:r>
      <w:r>
        <w:rPr>
          <w:spacing w:val="-16"/>
          <w:sz w:val="20"/>
        </w:rPr>
        <w:t> </w:t>
      </w:r>
      <w:r>
        <w:rPr>
          <w:sz w:val="20"/>
        </w:rPr>
        <w:t>the</w:t>
      </w:r>
      <w:r>
        <w:rPr>
          <w:spacing w:val="-15"/>
          <w:sz w:val="20"/>
        </w:rPr>
        <w:t> </w:t>
      </w:r>
      <w:r>
        <w:rPr>
          <w:sz w:val="20"/>
        </w:rPr>
        <w:t>GSFC</w:t>
      </w:r>
      <w:r>
        <w:rPr>
          <w:spacing w:val="-16"/>
          <w:sz w:val="20"/>
        </w:rPr>
        <w:t> </w:t>
      </w:r>
      <w:r>
        <w:rPr>
          <w:sz w:val="20"/>
        </w:rPr>
        <w:t>Nominees</w:t>
      </w:r>
      <w:r>
        <w:rPr>
          <w:spacing w:val="-14"/>
          <w:sz w:val="20"/>
        </w:rPr>
        <w:t> </w:t>
      </w:r>
      <w:r>
        <w:rPr>
          <w:sz w:val="20"/>
        </w:rPr>
        <w:t>to</w:t>
      </w:r>
      <w:r>
        <w:rPr>
          <w:spacing w:val="-15"/>
          <w:sz w:val="20"/>
        </w:rPr>
        <w:t> </w:t>
      </w:r>
      <w:r>
        <w:rPr>
          <w:sz w:val="20"/>
        </w:rPr>
        <w:t>the</w:t>
      </w:r>
      <w:r>
        <w:rPr>
          <w:spacing w:val="-16"/>
          <w:sz w:val="20"/>
        </w:rPr>
        <w:t> </w:t>
      </w:r>
      <w:r>
        <w:rPr>
          <w:sz w:val="20"/>
        </w:rPr>
        <w:t>Canadian</w:t>
      </w:r>
      <w:r>
        <w:rPr>
          <w:spacing w:val="-14"/>
          <w:sz w:val="20"/>
        </w:rPr>
        <w:t> </w:t>
      </w:r>
      <w:r>
        <w:rPr>
          <w:sz w:val="20"/>
        </w:rPr>
        <w:t>capital</w:t>
      </w:r>
      <w:r>
        <w:rPr>
          <w:spacing w:val="-16"/>
          <w:sz w:val="20"/>
        </w:rPr>
        <w:t> </w:t>
      </w:r>
      <w:r>
        <w:rPr>
          <w:sz w:val="20"/>
        </w:rPr>
        <w:t>markets.</w:t>
      </w:r>
    </w:p>
    <w:p>
      <w:pPr>
        <w:pStyle w:val="BodyText"/>
        <w:spacing w:before="8"/>
      </w:pPr>
    </w:p>
    <w:p>
      <w:pPr>
        <w:pStyle w:val="ListParagraph"/>
        <w:numPr>
          <w:ilvl w:val="0"/>
          <w:numId w:val="4"/>
        </w:numPr>
        <w:tabs>
          <w:tab w:pos="839" w:val="left" w:leader="none"/>
          <w:tab w:pos="841" w:val="left" w:leader="none"/>
        </w:tabs>
        <w:spacing w:line="240" w:lineRule="auto" w:before="0" w:after="0"/>
        <w:ind w:left="840" w:right="0" w:hanging="721"/>
        <w:jc w:val="left"/>
        <w:rPr>
          <w:sz w:val="20"/>
        </w:rPr>
      </w:pPr>
      <w:r>
        <w:rPr>
          <w:sz w:val="20"/>
          <w:u w:val="single"/>
        </w:rPr>
        <w:t>Application to OSC for Exemption</w:t>
      </w:r>
      <w:r>
        <w:rPr>
          <w:spacing w:val="-4"/>
          <w:sz w:val="20"/>
          <w:u w:val="single"/>
        </w:rPr>
        <w:t> </w:t>
      </w:r>
      <w:r>
        <w:rPr>
          <w:sz w:val="20"/>
          <w:u w:val="single"/>
        </w:rPr>
        <w:t>Order</w:t>
      </w:r>
    </w:p>
    <w:p>
      <w:pPr>
        <w:pStyle w:val="BodyText"/>
        <w:spacing w:before="8"/>
        <w:rPr>
          <w:sz w:val="22"/>
        </w:rPr>
      </w:pPr>
    </w:p>
    <w:p>
      <w:pPr>
        <w:pStyle w:val="ListParagraph"/>
        <w:numPr>
          <w:ilvl w:val="0"/>
          <w:numId w:val="1"/>
        </w:numPr>
        <w:tabs>
          <w:tab w:pos="841" w:val="left" w:leader="none"/>
        </w:tabs>
        <w:spacing w:line="360" w:lineRule="auto" w:before="94" w:after="0"/>
        <w:ind w:left="840" w:right="1157" w:hanging="721"/>
        <w:jc w:val="both"/>
        <w:rPr>
          <w:sz w:val="20"/>
        </w:rPr>
      </w:pPr>
      <w:r>
        <w:rPr>
          <w:sz w:val="20"/>
        </w:rPr>
        <w:t>On May 14, 2019, after the 2019 AGM, the KRN Board, led by Varma, instructed counsel to apply to the Ontario Securities Commission (the “</w:t>
      </w:r>
      <w:r>
        <w:rPr>
          <w:b/>
          <w:sz w:val="20"/>
        </w:rPr>
        <w:t>OSC</w:t>
      </w:r>
      <w:r>
        <w:rPr>
          <w:sz w:val="20"/>
        </w:rPr>
        <w:t>”) for an exemption from the provisions of NI 52- 110 requiring 100% of the members of the audit committees to be</w:t>
      </w:r>
      <w:r>
        <w:rPr>
          <w:spacing w:val="-16"/>
          <w:sz w:val="20"/>
        </w:rPr>
        <w:t> </w:t>
      </w:r>
      <w:r>
        <w:rPr>
          <w:sz w:val="20"/>
        </w:rPr>
        <w:t>independent.</w:t>
      </w:r>
    </w:p>
    <w:p>
      <w:pPr>
        <w:pStyle w:val="BodyText"/>
        <w:spacing w:before="10"/>
      </w:pPr>
    </w:p>
    <w:p>
      <w:pPr>
        <w:pStyle w:val="ListParagraph"/>
        <w:numPr>
          <w:ilvl w:val="0"/>
          <w:numId w:val="1"/>
        </w:numPr>
        <w:tabs>
          <w:tab w:pos="841" w:val="left" w:leader="none"/>
        </w:tabs>
        <w:spacing w:line="360" w:lineRule="auto" w:before="0" w:after="0"/>
        <w:ind w:left="840" w:right="1155" w:hanging="721"/>
        <w:jc w:val="both"/>
        <w:rPr>
          <w:sz w:val="20"/>
        </w:rPr>
      </w:pPr>
      <w:r>
        <w:rPr>
          <w:sz w:val="20"/>
        </w:rPr>
        <w:t>I</w:t>
      </w:r>
      <w:r>
        <w:rPr>
          <w:spacing w:val="-10"/>
          <w:sz w:val="20"/>
        </w:rPr>
        <w:t> </w:t>
      </w:r>
      <w:r>
        <w:rPr>
          <w:sz w:val="20"/>
        </w:rPr>
        <w:t>verily</w:t>
      </w:r>
      <w:r>
        <w:rPr>
          <w:spacing w:val="-8"/>
          <w:sz w:val="20"/>
        </w:rPr>
        <w:t> </w:t>
      </w:r>
      <w:r>
        <w:rPr>
          <w:sz w:val="20"/>
        </w:rPr>
        <w:t>believe</w:t>
      </w:r>
      <w:r>
        <w:rPr>
          <w:spacing w:val="-9"/>
          <w:sz w:val="20"/>
        </w:rPr>
        <w:t> </w:t>
      </w:r>
      <w:r>
        <w:rPr>
          <w:sz w:val="20"/>
        </w:rPr>
        <w:t>the</w:t>
      </w:r>
      <w:r>
        <w:rPr>
          <w:spacing w:val="-9"/>
          <w:sz w:val="20"/>
        </w:rPr>
        <w:t> </w:t>
      </w:r>
      <w:r>
        <w:rPr>
          <w:sz w:val="20"/>
        </w:rPr>
        <w:t>only</w:t>
      </w:r>
      <w:r>
        <w:rPr>
          <w:spacing w:val="-10"/>
          <w:sz w:val="20"/>
        </w:rPr>
        <w:t> </w:t>
      </w:r>
      <w:r>
        <w:rPr>
          <w:sz w:val="20"/>
        </w:rPr>
        <w:t>reason</w:t>
      </w:r>
      <w:r>
        <w:rPr>
          <w:spacing w:val="-10"/>
          <w:sz w:val="20"/>
        </w:rPr>
        <w:t> </w:t>
      </w:r>
      <w:r>
        <w:rPr>
          <w:sz w:val="20"/>
        </w:rPr>
        <w:t>Varma</w:t>
      </w:r>
      <w:r>
        <w:rPr>
          <w:spacing w:val="-9"/>
          <w:sz w:val="20"/>
        </w:rPr>
        <w:t> </w:t>
      </w:r>
      <w:r>
        <w:rPr>
          <w:sz w:val="20"/>
        </w:rPr>
        <w:t>asked</w:t>
      </w:r>
      <w:r>
        <w:rPr>
          <w:spacing w:val="-10"/>
          <w:sz w:val="20"/>
        </w:rPr>
        <w:t> </w:t>
      </w:r>
      <w:r>
        <w:rPr>
          <w:sz w:val="20"/>
        </w:rPr>
        <w:t>counsel</w:t>
      </w:r>
      <w:r>
        <w:rPr>
          <w:spacing w:val="-9"/>
          <w:sz w:val="20"/>
        </w:rPr>
        <w:t> </w:t>
      </w:r>
      <w:r>
        <w:rPr>
          <w:sz w:val="20"/>
        </w:rPr>
        <w:t>to</w:t>
      </w:r>
      <w:r>
        <w:rPr>
          <w:spacing w:val="-9"/>
          <w:sz w:val="20"/>
        </w:rPr>
        <w:t> </w:t>
      </w:r>
      <w:r>
        <w:rPr>
          <w:sz w:val="20"/>
        </w:rPr>
        <w:t>apply</w:t>
      </w:r>
      <w:r>
        <w:rPr>
          <w:spacing w:val="-9"/>
          <w:sz w:val="20"/>
        </w:rPr>
        <w:t> </w:t>
      </w:r>
      <w:r>
        <w:rPr>
          <w:sz w:val="20"/>
        </w:rPr>
        <w:t>to</w:t>
      </w:r>
      <w:r>
        <w:rPr>
          <w:spacing w:val="-9"/>
          <w:sz w:val="20"/>
        </w:rPr>
        <w:t> </w:t>
      </w:r>
      <w:r>
        <w:rPr>
          <w:sz w:val="20"/>
        </w:rPr>
        <w:t>the</w:t>
      </w:r>
      <w:r>
        <w:rPr>
          <w:spacing w:val="-9"/>
          <w:sz w:val="20"/>
        </w:rPr>
        <w:t> </w:t>
      </w:r>
      <w:r>
        <w:rPr>
          <w:sz w:val="20"/>
        </w:rPr>
        <w:t>OSC</w:t>
      </w:r>
      <w:r>
        <w:rPr>
          <w:spacing w:val="-9"/>
          <w:sz w:val="20"/>
        </w:rPr>
        <w:t> </w:t>
      </w:r>
      <w:r>
        <w:rPr>
          <w:sz w:val="20"/>
        </w:rPr>
        <w:t>was</w:t>
      </w:r>
      <w:r>
        <w:rPr>
          <w:spacing w:val="-9"/>
          <w:sz w:val="20"/>
        </w:rPr>
        <w:t> </w:t>
      </w:r>
      <w:r>
        <w:rPr>
          <w:sz w:val="20"/>
        </w:rPr>
        <w:t>to</w:t>
      </w:r>
      <w:r>
        <w:rPr>
          <w:spacing w:val="-9"/>
          <w:sz w:val="20"/>
        </w:rPr>
        <w:t> </w:t>
      </w:r>
      <w:r>
        <w:rPr>
          <w:sz w:val="20"/>
        </w:rPr>
        <w:t>ensure</w:t>
      </w:r>
      <w:r>
        <w:rPr>
          <w:spacing w:val="-9"/>
          <w:sz w:val="20"/>
        </w:rPr>
        <w:t> </w:t>
      </w:r>
      <w:r>
        <w:rPr>
          <w:sz w:val="20"/>
        </w:rPr>
        <w:t>GSFC</w:t>
      </w:r>
      <w:r>
        <w:rPr>
          <w:spacing w:val="-10"/>
          <w:sz w:val="20"/>
        </w:rPr>
        <w:t> </w:t>
      </w:r>
      <w:r>
        <w:rPr>
          <w:sz w:val="20"/>
        </w:rPr>
        <w:t>and the GSFC Nominees could keep the status quo on the KRN Board, and not have to appoint any independent</w:t>
      </w:r>
      <w:r>
        <w:rPr>
          <w:spacing w:val="-2"/>
          <w:sz w:val="20"/>
        </w:rPr>
        <w:t> </w:t>
      </w:r>
      <w:r>
        <w:rPr>
          <w:sz w:val="20"/>
        </w:rPr>
        <w:t>directors.</w:t>
      </w:r>
    </w:p>
    <w:p>
      <w:pPr>
        <w:pStyle w:val="BodyText"/>
        <w:spacing w:before="11"/>
      </w:pPr>
    </w:p>
    <w:p>
      <w:pPr>
        <w:pStyle w:val="ListParagraph"/>
        <w:numPr>
          <w:ilvl w:val="0"/>
          <w:numId w:val="1"/>
        </w:numPr>
        <w:tabs>
          <w:tab w:pos="841" w:val="left" w:leader="none"/>
        </w:tabs>
        <w:spacing w:line="360" w:lineRule="auto" w:before="0" w:after="0"/>
        <w:ind w:left="840" w:right="1157" w:hanging="721"/>
        <w:jc w:val="both"/>
        <w:rPr>
          <w:sz w:val="20"/>
        </w:rPr>
      </w:pPr>
      <w:r>
        <w:rPr>
          <w:sz w:val="20"/>
        </w:rPr>
        <w:t>The OSC did not grant the exemption order. The OSC told KRN that the OSC had never granted such an exemption order. The OSC questioned Karnalyte as to why it was taking so</w:t>
      </w:r>
      <w:r>
        <w:rPr>
          <w:spacing w:val="-26"/>
          <w:sz w:val="20"/>
        </w:rPr>
        <w:t> </w:t>
      </w:r>
      <w:r>
        <w:rPr>
          <w:sz w:val="20"/>
        </w:rPr>
        <w:t>long.</w:t>
      </w:r>
    </w:p>
    <w:p>
      <w:pPr>
        <w:pStyle w:val="BodyText"/>
        <w:spacing w:before="10"/>
      </w:pPr>
    </w:p>
    <w:p>
      <w:pPr>
        <w:pStyle w:val="BodyText"/>
        <w:spacing w:line="360" w:lineRule="auto"/>
        <w:ind w:left="840" w:right="1085" w:hanging="721"/>
      </w:pPr>
      <w:r>
        <w:rPr/>
        <w:t>had not appointed independent directors, and when Karnalyte was planning on appointing independent directors.</w:t>
      </w:r>
    </w:p>
    <w:p>
      <w:pPr>
        <w:pStyle w:val="BodyText"/>
        <w:spacing w:before="10"/>
      </w:pPr>
    </w:p>
    <w:p>
      <w:pPr>
        <w:pStyle w:val="ListParagraph"/>
        <w:numPr>
          <w:ilvl w:val="0"/>
          <w:numId w:val="1"/>
        </w:numPr>
        <w:tabs>
          <w:tab w:pos="841" w:val="left" w:leader="none"/>
        </w:tabs>
        <w:spacing w:line="360" w:lineRule="auto" w:before="0" w:after="0"/>
        <w:ind w:left="840" w:right="1156" w:hanging="720"/>
        <w:jc w:val="both"/>
        <w:rPr>
          <w:sz w:val="20"/>
        </w:rPr>
      </w:pPr>
      <w:r>
        <w:rPr>
          <w:sz w:val="20"/>
        </w:rPr>
        <w:t>Varma suggested that counsel respond to the OSC that the KRN Board was considering hiring an executive search firm to conduct a search for independent directors. The OSC responded with an as to why it had not appointed independent directors, and when Karnalyte was planning on appointing independent</w:t>
      </w:r>
      <w:r>
        <w:rPr>
          <w:spacing w:val="-3"/>
          <w:sz w:val="20"/>
        </w:rPr>
        <w:t> </w:t>
      </w:r>
      <w:r>
        <w:rPr>
          <w:sz w:val="20"/>
        </w:rPr>
        <w:t>directors</w:t>
      </w:r>
    </w:p>
    <w:p>
      <w:pPr>
        <w:spacing w:after="0" w:line="360" w:lineRule="auto"/>
        <w:jc w:val="both"/>
        <w:rPr>
          <w:sz w:val="20"/>
        </w:rPr>
        <w:sectPr>
          <w:pgSz w:w="12240" w:h="15840"/>
          <w:pgMar w:header="0" w:footer="1259" w:top="1220" w:bottom="1440" w:left="1320" w:right="280"/>
        </w:sectPr>
      </w:pPr>
    </w:p>
    <w:p>
      <w:pPr>
        <w:pStyle w:val="ListParagraph"/>
        <w:numPr>
          <w:ilvl w:val="0"/>
          <w:numId w:val="1"/>
        </w:numPr>
        <w:tabs>
          <w:tab w:pos="839" w:val="left" w:leader="none"/>
          <w:tab w:pos="841" w:val="left" w:leader="none"/>
        </w:tabs>
        <w:spacing w:line="240" w:lineRule="auto" w:before="75" w:after="0"/>
        <w:ind w:left="840" w:right="0" w:hanging="721"/>
        <w:jc w:val="left"/>
        <w:rPr>
          <w:sz w:val="20"/>
        </w:rPr>
      </w:pPr>
      <w:r>
        <w:rPr/>
        <w:drawing>
          <wp:anchor distT="0" distB="0" distL="0" distR="0" allowOverlap="1" layoutInCell="1" locked="0" behindDoc="0" simplePos="0" relativeHeight="251678720">
            <wp:simplePos x="0" y="0"/>
            <wp:positionH relativeFrom="page">
              <wp:posOffset>6864642</wp:posOffset>
            </wp:positionH>
            <wp:positionV relativeFrom="page">
              <wp:posOffset>9296845</wp:posOffset>
            </wp:positionV>
            <wp:extent cx="547560" cy="555707"/>
            <wp:effectExtent l="0" t="0" r="0" b="0"/>
            <wp:wrapNone/>
            <wp:docPr id="21" name="image4.png"/>
            <wp:cNvGraphicFramePr>
              <a:graphicFrameLocks noChangeAspect="1"/>
            </wp:cNvGraphicFramePr>
            <a:graphic>
              <a:graphicData uri="http://schemas.openxmlformats.org/drawingml/2006/picture">
                <pic:pic>
                  <pic:nvPicPr>
                    <pic:cNvPr id="22" name="image4.png"/>
                    <pic:cNvPicPr/>
                  </pic:nvPicPr>
                  <pic:blipFill>
                    <a:blip r:embed="rId9" cstate="print"/>
                    <a:stretch>
                      <a:fillRect/>
                    </a:stretch>
                  </pic:blipFill>
                  <pic:spPr>
                    <a:xfrm>
                      <a:off x="0" y="0"/>
                      <a:ext cx="547560" cy="555707"/>
                    </a:xfrm>
                    <a:prstGeom prst="rect">
                      <a:avLst/>
                    </a:prstGeom>
                  </pic:spPr>
                </pic:pic>
              </a:graphicData>
            </a:graphic>
          </wp:anchor>
        </w:drawing>
      </w:r>
      <w:r>
        <w:rPr/>
        <w:drawing>
          <wp:anchor distT="0" distB="0" distL="0" distR="0" allowOverlap="1" layoutInCell="1" locked="0" behindDoc="0" simplePos="0" relativeHeight="251679744">
            <wp:simplePos x="0" y="0"/>
            <wp:positionH relativeFrom="page">
              <wp:posOffset>5799683</wp:posOffset>
            </wp:positionH>
            <wp:positionV relativeFrom="page">
              <wp:posOffset>9349408</wp:posOffset>
            </wp:positionV>
            <wp:extent cx="876722" cy="555707"/>
            <wp:effectExtent l="0" t="0" r="0" b="0"/>
            <wp:wrapNone/>
            <wp:docPr id="23" name="image5.png"/>
            <wp:cNvGraphicFramePr>
              <a:graphicFrameLocks noChangeAspect="1"/>
            </wp:cNvGraphicFramePr>
            <a:graphic>
              <a:graphicData uri="http://schemas.openxmlformats.org/drawingml/2006/picture">
                <pic:pic>
                  <pic:nvPicPr>
                    <pic:cNvPr id="24" name="image5.png"/>
                    <pic:cNvPicPr/>
                  </pic:nvPicPr>
                  <pic:blipFill>
                    <a:blip r:embed="rId10" cstate="print"/>
                    <a:stretch>
                      <a:fillRect/>
                    </a:stretch>
                  </pic:blipFill>
                  <pic:spPr>
                    <a:xfrm>
                      <a:off x="0" y="0"/>
                      <a:ext cx="876722" cy="555707"/>
                    </a:xfrm>
                    <a:prstGeom prst="rect">
                      <a:avLst/>
                    </a:prstGeom>
                  </pic:spPr>
                </pic:pic>
              </a:graphicData>
            </a:graphic>
          </wp:anchor>
        </w:drawing>
      </w:r>
      <w:r>
        <w:rPr>
          <w:sz w:val="20"/>
        </w:rPr>
        <w:t>I verily believe that</w:t>
      </w:r>
      <w:r>
        <w:rPr>
          <w:spacing w:val="-5"/>
          <w:sz w:val="20"/>
        </w:rPr>
        <w:t> </w:t>
      </w:r>
      <w:r>
        <w:rPr>
          <w:sz w:val="20"/>
        </w:rPr>
        <w:t>Varma:</w:t>
      </w:r>
    </w:p>
    <w:p>
      <w:pPr>
        <w:pStyle w:val="BodyText"/>
        <w:spacing w:before="10"/>
        <w:rPr>
          <w:sz w:val="30"/>
        </w:rPr>
      </w:pPr>
    </w:p>
    <w:p>
      <w:pPr>
        <w:pStyle w:val="ListParagraph"/>
        <w:numPr>
          <w:ilvl w:val="1"/>
          <w:numId w:val="1"/>
        </w:numPr>
        <w:tabs>
          <w:tab w:pos="1559" w:val="left" w:leader="none"/>
          <w:tab w:pos="1560" w:val="left" w:leader="none"/>
        </w:tabs>
        <w:spacing w:line="350" w:lineRule="auto" w:before="1" w:after="0"/>
        <w:ind w:left="1559" w:right="1157" w:hanging="720"/>
        <w:jc w:val="left"/>
        <w:rPr>
          <w:rFonts w:ascii="Symbol" w:hAnsi="Symbol"/>
          <w:sz w:val="20"/>
        </w:rPr>
      </w:pPr>
      <w:r>
        <w:rPr>
          <w:sz w:val="20"/>
        </w:rPr>
        <w:t>was</w:t>
      </w:r>
      <w:r>
        <w:rPr>
          <w:spacing w:val="-6"/>
          <w:sz w:val="20"/>
        </w:rPr>
        <w:t> </w:t>
      </w:r>
      <w:r>
        <w:rPr>
          <w:sz w:val="20"/>
        </w:rPr>
        <w:t>intentionally</w:t>
      </w:r>
      <w:r>
        <w:rPr>
          <w:spacing w:val="-6"/>
          <w:sz w:val="20"/>
        </w:rPr>
        <w:t> </w:t>
      </w:r>
      <w:r>
        <w:rPr>
          <w:sz w:val="20"/>
        </w:rPr>
        <w:t>misleading</w:t>
      </w:r>
      <w:r>
        <w:rPr>
          <w:spacing w:val="-6"/>
          <w:sz w:val="20"/>
        </w:rPr>
        <w:t> </w:t>
      </w:r>
      <w:r>
        <w:rPr>
          <w:sz w:val="20"/>
        </w:rPr>
        <w:t>the</w:t>
      </w:r>
      <w:r>
        <w:rPr>
          <w:spacing w:val="-5"/>
          <w:sz w:val="20"/>
        </w:rPr>
        <w:t> </w:t>
      </w:r>
      <w:r>
        <w:rPr>
          <w:sz w:val="20"/>
        </w:rPr>
        <w:t>OSC</w:t>
      </w:r>
      <w:r>
        <w:rPr>
          <w:spacing w:val="-6"/>
          <w:sz w:val="20"/>
        </w:rPr>
        <w:t> </w:t>
      </w:r>
      <w:r>
        <w:rPr>
          <w:sz w:val="20"/>
        </w:rPr>
        <w:t>in</w:t>
      </w:r>
      <w:r>
        <w:rPr>
          <w:spacing w:val="-6"/>
          <w:sz w:val="20"/>
        </w:rPr>
        <w:t> </w:t>
      </w:r>
      <w:r>
        <w:rPr>
          <w:sz w:val="20"/>
        </w:rPr>
        <w:t>order</w:t>
      </w:r>
      <w:r>
        <w:rPr>
          <w:spacing w:val="-6"/>
          <w:sz w:val="20"/>
        </w:rPr>
        <w:t> </w:t>
      </w:r>
      <w:r>
        <w:rPr>
          <w:sz w:val="20"/>
        </w:rPr>
        <w:t>to</w:t>
      </w:r>
      <w:r>
        <w:rPr>
          <w:spacing w:val="-5"/>
          <w:sz w:val="20"/>
        </w:rPr>
        <w:t> </w:t>
      </w:r>
      <w:r>
        <w:rPr>
          <w:sz w:val="20"/>
        </w:rPr>
        <w:t>buy</w:t>
      </w:r>
      <w:r>
        <w:rPr>
          <w:spacing w:val="-6"/>
          <w:sz w:val="20"/>
        </w:rPr>
        <w:t> </w:t>
      </w:r>
      <w:r>
        <w:rPr>
          <w:sz w:val="20"/>
        </w:rPr>
        <w:t>time,</w:t>
      </w:r>
      <w:r>
        <w:rPr>
          <w:spacing w:val="-7"/>
          <w:sz w:val="20"/>
        </w:rPr>
        <w:t> </w:t>
      </w:r>
      <w:r>
        <w:rPr>
          <w:sz w:val="20"/>
        </w:rPr>
        <w:t>and</w:t>
      </w:r>
      <w:r>
        <w:rPr>
          <w:spacing w:val="-6"/>
          <w:sz w:val="20"/>
        </w:rPr>
        <w:t> </w:t>
      </w:r>
      <w:r>
        <w:rPr>
          <w:sz w:val="20"/>
        </w:rPr>
        <w:t>to</w:t>
      </w:r>
      <w:r>
        <w:rPr>
          <w:spacing w:val="-5"/>
          <w:sz w:val="20"/>
        </w:rPr>
        <w:t> </w:t>
      </w:r>
      <w:r>
        <w:rPr>
          <w:sz w:val="20"/>
        </w:rPr>
        <w:t>retain</w:t>
      </w:r>
      <w:r>
        <w:rPr>
          <w:spacing w:val="-6"/>
          <w:sz w:val="20"/>
        </w:rPr>
        <w:t> </w:t>
      </w:r>
      <w:r>
        <w:rPr>
          <w:sz w:val="20"/>
        </w:rPr>
        <w:t>control</w:t>
      </w:r>
      <w:r>
        <w:rPr>
          <w:spacing w:val="-8"/>
          <w:sz w:val="20"/>
        </w:rPr>
        <w:t> </w:t>
      </w:r>
      <w:r>
        <w:rPr>
          <w:sz w:val="20"/>
        </w:rPr>
        <w:t>of</w:t>
      </w:r>
      <w:r>
        <w:rPr>
          <w:spacing w:val="-6"/>
          <w:sz w:val="20"/>
        </w:rPr>
        <w:t> </w:t>
      </w:r>
      <w:r>
        <w:rPr>
          <w:sz w:val="20"/>
        </w:rPr>
        <w:t>the</w:t>
      </w:r>
      <w:r>
        <w:rPr>
          <w:spacing w:val="-6"/>
          <w:sz w:val="20"/>
        </w:rPr>
        <w:t> </w:t>
      </w:r>
      <w:r>
        <w:rPr>
          <w:sz w:val="20"/>
        </w:rPr>
        <w:t>KRN Board;</w:t>
      </w:r>
      <w:r>
        <w:rPr>
          <w:spacing w:val="-2"/>
          <w:sz w:val="20"/>
        </w:rPr>
        <w:t> </w:t>
      </w:r>
      <w:r>
        <w:rPr>
          <w:sz w:val="20"/>
        </w:rPr>
        <w:t>and</w:t>
      </w:r>
    </w:p>
    <w:p>
      <w:pPr>
        <w:pStyle w:val="BodyText"/>
        <w:spacing w:before="9"/>
        <w:rPr>
          <w:sz w:val="21"/>
        </w:rPr>
      </w:pPr>
    </w:p>
    <w:p>
      <w:pPr>
        <w:pStyle w:val="ListParagraph"/>
        <w:numPr>
          <w:ilvl w:val="1"/>
          <w:numId w:val="1"/>
        </w:numPr>
        <w:tabs>
          <w:tab w:pos="1559" w:val="left" w:leader="none"/>
          <w:tab w:pos="1560" w:val="left" w:leader="none"/>
        </w:tabs>
        <w:spacing w:line="350" w:lineRule="auto" w:before="0" w:after="0"/>
        <w:ind w:left="1559" w:right="1156" w:hanging="721"/>
        <w:jc w:val="left"/>
        <w:rPr>
          <w:rFonts w:ascii="Symbol" w:hAnsi="Symbol"/>
          <w:sz w:val="20"/>
        </w:rPr>
      </w:pPr>
      <w:r>
        <w:rPr>
          <w:sz w:val="20"/>
        </w:rPr>
        <w:t>had no intention of hiring an executive search firm, or identifying any independent candidates for the KRN</w:t>
      </w:r>
      <w:r>
        <w:rPr>
          <w:spacing w:val="-2"/>
          <w:sz w:val="20"/>
        </w:rPr>
        <w:t> </w:t>
      </w:r>
      <w:r>
        <w:rPr>
          <w:sz w:val="20"/>
        </w:rPr>
        <w:t>Board.</w:t>
      </w:r>
    </w:p>
    <w:p>
      <w:pPr>
        <w:pStyle w:val="BodyText"/>
        <w:spacing w:before="7"/>
        <w:rPr>
          <w:sz w:val="21"/>
        </w:rPr>
      </w:pPr>
    </w:p>
    <w:p>
      <w:pPr>
        <w:pStyle w:val="ListParagraph"/>
        <w:numPr>
          <w:ilvl w:val="0"/>
          <w:numId w:val="1"/>
        </w:numPr>
        <w:tabs>
          <w:tab w:pos="839" w:val="left" w:leader="none"/>
          <w:tab w:pos="840" w:val="left" w:leader="none"/>
        </w:tabs>
        <w:spacing w:line="360" w:lineRule="auto" w:before="1" w:after="0"/>
        <w:ind w:left="839" w:right="1156" w:hanging="721"/>
        <w:jc w:val="left"/>
        <w:rPr>
          <w:sz w:val="20"/>
        </w:rPr>
      </w:pPr>
      <w:r>
        <w:rPr>
          <w:sz w:val="20"/>
        </w:rPr>
        <w:t>During my tenure with KRN, the KRN Board never hired an executive search firm to identify independent</w:t>
      </w:r>
      <w:r>
        <w:rPr>
          <w:spacing w:val="-5"/>
          <w:sz w:val="20"/>
        </w:rPr>
        <w:t> </w:t>
      </w:r>
      <w:r>
        <w:rPr>
          <w:sz w:val="20"/>
        </w:rPr>
        <w:t>director</w:t>
      </w:r>
      <w:r>
        <w:rPr>
          <w:spacing w:val="-3"/>
          <w:sz w:val="20"/>
        </w:rPr>
        <w:t> </w:t>
      </w:r>
      <w:r>
        <w:rPr>
          <w:sz w:val="20"/>
        </w:rPr>
        <w:t>candidates,</w:t>
      </w:r>
      <w:r>
        <w:rPr>
          <w:spacing w:val="-4"/>
          <w:sz w:val="20"/>
        </w:rPr>
        <w:t> </w:t>
      </w:r>
      <w:r>
        <w:rPr>
          <w:sz w:val="20"/>
        </w:rPr>
        <w:t>and</w:t>
      </w:r>
      <w:r>
        <w:rPr>
          <w:spacing w:val="-4"/>
          <w:sz w:val="20"/>
        </w:rPr>
        <w:t> </w:t>
      </w:r>
      <w:r>
        <w:rPr>
          <w:sz w:val="20"/>
        </w:rPr>
        <w:t>no</w:t>
      </w:r>
      <w:r>
        <w:rPr>
          <w:spacing w:val="-4"/>
          <w:sz w:val="20"/>
        </w:rPr>
        <w:t> </w:t>
      </w:r>
      <w:r>
        <w:rPr>
          <w:sz w:val="20"/>
        </w:rPr>
        <w:t>independent</w:t>
      </w:r>
      <w:r>
        <w:rPr>
          <w:spacing w:val="-4"/>
          <w:sz w:val="20"/>
        </w:rPr>
        <w:t> </w:t>
      </w:r>
      <w:r>
        <w:rPr>
          <w:sz w:val="20"/>
        </w:rPr>
        <w:t>directors</w:t>
      </w:r>
      <w:r>
        <w:rPr>
          <w:spacing w:val="-3"/>
          <w:sz w:val="20"/>
        </w:rPr>
        <w:t> </w:t>
      </w:r>
      <w:r>
        <w:rPr>
          <w:sz w:val="20"/>
        </w:rPr>
        <w:t>were</w:t>
      </w:r>
      <w:r>
        <w:rPr>
          <w:spacing w:val="-3"/>
          <w:sz w:val="20"/>
        </w:rPr>
        <w:t> </w:t>
      </w:r>
      <w:r>
        <w:rPr>
          <w:sz w:val="20"/>
        </w:rPr>
        <w:t>appointed</w:t>
      </w:r>
      <w:r>
        <w:rPr>
          <w:spacing w:val="-3"/>
          <w:sz w:val="20"/>
        </w:rPr>
        <w:t> </w:t>
      </w:r>
      <w:r>
        <w:rPr>
          <w:sz w:val="20"/>
        </w:rPr>
        <w:t>to</w:t>
      </w:r>
      <w:r>
        <w:rPr>
          <w:spacing w:val="-3"/>
          <w:sz w:val="20"/>
        </w:rPr>
        <w:t> </w:t>
      </w:r>
      <w:r>
        <w:rPr>
          <w:sz w:val="20"/>
        </w:rPr>
        <w:t>the</w:t>
      </w:r>
      <w:r>
        <w:rPr>
          <w:spacing w:val="-4"/>
          <w:sz w:val="20"/>
        </w:rPr>
        <w:t> </w:t>
      </w:r>
      <w:r>
        <w:rPr>
          <w:sz w:val="20"/>
        </w:rPr>
        <w:t>KRN</w:t>
      </w:r>
      <w:r>
        <w:rPr>
          <w:spacing w:val="-3"/>
          <w:sz w:val="20"/>
        </w:rPr>
        <w:t> </w:t>
      </w:r>
      <w:r>
        <w:rPr>
          <w:sz w:val="20"/>
        </w:rPr>
        <w:t>Board.</w:t>
      </w:r>
    </w:p>
    <w:p>
      <w:pPr>
        <w:pStyle w:val="BodyText"/>
        <w:spacing w:before="9"/>
      </w:pPr>
    </w:p>
    <w:p>
      <w:pPr>
        <w:pStyle w:val="ListParagraph"/>
        <w:numPr>
          <w:ilvl w:val="0"/>
          <w:numId w:val="4"/>
        </w:numPr>
        <w:tabs>
          <w:tab w:pos="839" w:val="left" w:leader="none"/>
          <w:tab w:pos="841" w:val="left" w:leader="none"/>
        </w:tabs>
        <w:spacing w:line="240" w:lineRule="auto" w:before="0" w:after="0"/>
        <w:ind w:left="840" w:right="0" w:hanging="721"/>
        <w:jc w:val="left"/>
        <w:rPr>
          <w:sz w:val="20"/>
        </w:rPr>
      </w:pPr>
      <w:r>
        <w:rPr>
          <w:sz w:val="20"/>
          <w:u w:val="single"/>
        </w:rPr>
        <w:t>2019 - GSFC Increases its Control of the KRN Board and Tightens Its Grip on</w:t>
      </w:r>
      <w:r>
        <w:rPr>
          <w:spacing w:val="-19"/>
          <w:sz w:val="20"/>
          <w:u w:val="single"/>
        </w:rPr>
        <w:t> </w:t>
      </w:r>
      <w:r>
        <w:rPr>
          <w:sz w:val="20"/>
          <w:u w:val="single"/>
        </w:rPr>
        <w:t>KRN</w:t>
      </w:r>
    </w:p>
    <w:p>
      <w:pPr>
        <w:pStyle w:val="BodyText"/>
        <w:spacing w:before="8"/>
        <w:rPr>
          <w:sz w:val="22"/>
        </w:rPr>
      </w:pPr>
    </w:p>
    <w:p>
      <w:pPr>
        <w:pStyle w:val="ListParagraph"/>
        <w:numPr>
          <w:ilvl w:val="0"/>
          <w:numId w:val="1"/>
        </w:numPr>
        <w:tabs>
          <w:tab w:pos="841" w:val="left" w:leader="none"/>
        </w:tabs>
        <w:spacing w:line="360" w:lineRule="auto" w:before="94" w:after="0"/>
        <w:ind w:left="840" w:right="1156" w:hanging="721"/>
        <w:jc w:val="both"/>
        <w:rPr>
          <w:sz w:val="20"/>
        </w:rPr>
      </w:pPr>
      <w:r>
        <w:rPr>
          <w:sz w:val="20"/>
        </w:rPr>
        <w:t>In July 2019, I received an email from Varma stating that the GSFC MD wanted to appoint Anjaria to the KRN Board. GSFC already had two (2) of three (3) seats on the KRN</w:t>
      </w:r>
      <w:r>
        <w:rPr>
          <w:spacing w:val="-19"/>
          <w:sz w:val="20"/>
        </w:rPr>
        <w:t> </w:t>
      </w:r>
      <w:r>
        <w:rPr>
          <w:sz w:val="20"/>
        </w:rPr>
        <w:t>Board.</w:t>
      </w:r>
    </w:p>
    <w:p>
      <w:pPr>
        <w:pStyle w:val="BodyText"/>
        <w:spacing w:before="10"/>
      </w:pPr>
    </w:p>
    <w:p>
      <w:pPr>
        <w:pStyle w:val="ListParagraph"/>
        <w:numPr>
          <w:ilvl w:val="0"/>
          <w:numId w:val="1"/>
        </w:numPr>
        <w:tabs>
          <w:tab w:pos="841" w:val="left" w:leader="none"/>
        </w:tabs>
        <w:spacing w:line="360" w:lineRule="auto" w:before="0" w:after="0"/>
        <w:ind w:left="840" w:right="1155" w:hanging="721"/>
        <w:jc w:val="both"/>
        <w:rPr>
          <w:sz w:val="20"/>
        </w:rPr>
      </w:pPr>
      <w:r>
        <w:rPr>
          <w:sz w:val="20"/>
        </w:rPr>
        <w:t>Notwithstanding the OSC was questioning Karnalyte as to when it was going to appoint additional independent directors to the KRN Board, Varma insisted that Anjaria be appointed to the KRN Board. Varma insisted Anjaria was independent, even though Anjaria was a director of GSFC at the time. I had met Anjaria in Ahmedabad, India, two (2) years previously, with</w:t>
      </w:r>
      <w:r>
        <w:rPr>
          <w:spacing w:val="-24"/>
          <w:sz w:val="20"/>
        </w:rPr>
        <w:t> </w:t>
      </w:r>
      <w:r>
        <w:rPr>
          <w:sz w:val="20"/>
        </w:rPr>
        <w:t>Rowan.</w:t>
      </w:r>
    </w:p>
    <w:p>
      <w:pPr>
        <w:pStyle w:val="BodyText"/>
        <w:spacing w:before="10"/>
      </w:pPr>
    </w:p>
    <w:p>
      <w:pPr>
        <w:pStyle w:val="ListParagraph"/>
        <w:numPr>
          <w:ilvl w:val="0"/>
          <w:numId w:val="1"/>
        </w:numPr>
        <w:tabs>
          <w:tab w:pos="841" w:val="left" w:leader="none"/>
        </w:tabs>
        <w:spacing w:line="360" w:lineRule="auto" w:before="0" w:after="0"/>
        <w:ind w:left="840" w:right="1156" w:hanging="720"/>
        <w:jc w:val="both"/>
        <w:rPr>
          <w:sz w:val="20"/>
        </w:rPr>
      </w:pPr>
      <w:r>
        <w:rPr>
          <w:sz w:val="20"/>
        </w:rPr>
        <w:t>I knew that Anjaria was going to be appointed to the KRN Board, irrespective of any objections Rowan may have had. I insisted, from a governance perspective, that Anjaria should at least be interviewed before his appointment. I, as CEO, and Rowan as the only Canadian and non-GSFC Nominee, travelled to Paris with to meet with</w:t>
      </w:r>
      <w:r>
        <w:rPr>
          <w:spacing w:val="-10"/>
          <w:sz w:val="20"/>
        </w:rPr>
        <w:t> </w:t>
      </w:r>
      <w:r>
        <w:rPr>
          <w:sz w:val="20"/>
        </w:rPr>
        <w:t>Anjaria.</w:t>
      </w:r>
    </w:p>
    <w:p>
      <w:pPr>
        <w:pStyle w:val="BodyText"/>
        <w:spacing w:before="11"/>
      </w:pPr>
    </w:p>
    <w:p>
      <w:pPr>
        <w:pStyle w:val="ListParagraph"/>
        <w:numPr>
          <w:ilvl w:val="0"/>
          <w:numId w:val="1"/>
        </w:numPr>
        <w:tabs>
          <w:tab w:pos="841" w:val="left" w:leader="none"/>
        </w:tabs>
        <w:spacing w:line="360" w:lineRule="auto" w:before="0" w:after="0"/>
        <w:ind w:left="839" w:right="1156" w:hanging="720"/>
        <w:jc w:val="both"/>
        <w:rPr>
          <w:sz w:val="20"/>
        </w:rPr>
      </w:pPr>
      <w:r>
        <w:rPr>
          <w:sz w:val="20"/>
        </w:rPr>
        <w:t>Rowan and I met with Anjaria for approximately eight (8) hours in Paris, and we provided him with a</w:t>
      </w:r>
      <w:r>
        <w:rPr>
          <w:spacing w:val="-5"/>
          <w:sz w:val="20"/>
        </w:rPr>
        <w:t> </w:t>
      </w:r>
      <w:r>
        <w:rPr>
          <w:sz w:val="20"/>
        </w:rPr>
        <w:t>full</w:t>
      </w:r>
      <w:r>
        <w:rPr>
          <w:spacing w:val="-4"/>
          <w:sz w:val="20"/>
        </w:rPr>
        <w:t> </w:t>
      </w:r>
      <w:r>
        <w:rPr>
          <w:sz w:val="20"/>
        </w:rPr>
        <w:t>briefing</w:t>
      </w:r>
      <w:r>
        <w:rPr>
          <w:spacing w:val="-5"/>
          <w:sz w:val="20"/>
        </w:rPr>
        <w:t> </w:t>
      </w:r>
      <w:r>
        <w:rPr>
          <w:sz w:val="20"/>
        </w:rPr>
        <w:t>on</w:t>
      </w:r>
      <w:r>
        <w:rPr>
          <w:spacing w:val="-4"/>
          <w:sz w:val="20"/>
        </w:rPr>
        <w:t> </w:t>
      </w:r>
      <w:r>
        <w:rPr>
          <w:sz w:val="20"/>
        </w:rPr>
        <w:t>KRN,</w:t>
      </w:r>
      <w:r>
        <w:rPr>
          <w:spacing w:val="-5"/>
          <w:sz w:val="20"/>
        </w:rPr>
        <w:t> </w:t>
      </w:r>
      <w:r>
        <w:rPr>
          <w:sz w:val="20"/>
        </w:rPr>
        <w:t>the</w:t>
      </w:r>
      <w:r>
        <w:rPr>
          <w:spacing w:val="-4"/>
          <w:sz w:val="20"/>
        </w:rPr>
        <w:t> </w:t>
      </w:r>
      <w:r>
        <w:rPr>
          <w:sz w:val="20"/>
        </w:rPr>
        <w:t>status</w:t>
      </w:r>
      <w:r>
        <w:rPr>
          <w:spacing w:val="-4"/>
          <w:sz w:val="20"/>
        </w:rPr>
        <w:t> </w:t>
      </w:r>
      <w:r>
        <w:rPr>
          <w:sz w:val="20"/>
        </w:rPr>
        <w:t>of</w:t>
      </w:r>
      <w:r>
        <w:rPr>
          <w:spacing w:val="-5"/>
          <w:sz w:val="20"/>
        </w:rPr>
        <w:t> </w:t>
      </w:r>
      <w:r>
        <w:rPr>
          <w:sz w:val="20"/>
        </w:rPr>
        <w:t>the</w:t>
      </w:r>
      <w:r>
        <w:rPr>
          <w:spacing w:val="-5"/>
          <w:sz w:val="20"/>
        </w:rPr>
        <w:t> </w:t>
      </w:r>
      <w:r>
        <w:rPr>
          <w:sz w:val="20"/>
        </w:rPr>
        <w:t>Potash</w:t>
      </w:r>
      <w:r>
        <w:rPr>
          <w:spacing w:val="-4"/>
          <w:sz w:val="20"/>
        </w:rPr>
        <w:t> </w:t>
      </w:r>
      <w:r>
        <w:rPr>
          <w:sz w:val="20"/>
        </w:rPr>
        <w:t>Project,</w:t>
      </w:r>
      <w:r>
        <w:rPr>
          <w:spacing w:val="-5"/>
          <w:sz w:val="20"/>
        </w:rPr>
        <w:t> </w:t>
      </w:r>
      <w:r>
        <w:rPr>
          <w:sz w:val="20"/>
        </w:rPr>
        <w:t>the</w:t>
      </w:r>
      <w:r>
        <w:rPr>
          <w:spacing w:val="-5"/>
          <w:sz w:val="20"/>
        </w:rPr>
        <w:t> </w:t>
      </w:r>
      <w:r>
        <w:rPr>
          <w:sz w:val="20"/>
        </w:rPr>
        <w:t>strategy</w:t>
      </w:r>
      <w:r>
        <w:rPr>
          <w:spacing w:val="-4"/>
          <w:sz w:val="20"/>
        </w:rPr>
        <w:t> </w:t>
      </w:r>
      <w:r>
        <w:rPr>
          <w:sz w:val="20"/>
        </w:rPr>
        <w:t>for</w:t>
      </w:r>
      <w:r>
        <w:rPr>
          <w:spacing w:val="-4"/>
          <w:sz w:val="20"/>
        </w:rPr>
        <w:t> </w:t>
      </w:r>
      <w:r>
        <w:rPr>
          <w:sz w:val="20"/>
        </w:rPr>
        <w:t>KRN’s</w:t>
      </w:r>
      <w:r>
        <w:rPr>
          <w:spacing w:val="-5"/>
          <w:sz w:val="20"/>
        </w:rPr>
        <w:t> </w:t>
      </w:r>
      <w:r>
        <w:rPr>
          <w:sz w:val="20"/>
        </w:rPr>
        <w:t>nitrogen</w:t>
      </w:r>
      <w:r>
        <w:rPr>
          <w:spacing w:val="-5"/>
          <w:sz w:val="20"/>
        </w:rPr>
        <w:t> </w:t>
      </w:r>
      <w:r>
        <w:rPr>
          <w:sz w:val="20"/>
        </w:rPr>
        <w:t>project</w:t>
      </w:r>
      <w:r>
        <w:rPr>
          <w:spacing w:val="-6"/>
          <w:sz w:val="20"/>
        </w:rPr>
        <w:t> </w:t>
      </w:r>
      <w:r>
        <w:rPr>
          <w:sz w:val="20"/>
        </w:rPr>
        <w:t>(the “</w:t>
      </w:r>
      <w:r>
        <w:rPr>
          <w:b/>
          <w:sz w:val="20"/>
        </w:rPr>
        <w:t>Nitrogen Project</w:t>
      </w:r>
      <w:r>
        <w:rPr>
          <w:sz w:val="20"/>
        </w:rPr>
        <w:t>”), and discussions with the private agricultural company (the “</w:t>
      </w:r>
      <w:r>
        <w:rPr>
          <w:b/>
          <w:sz w:val="20"/>
        </w:rPr>
        <w:t>Agco</w:t>
      </w:r>
      <w:r>
        <w:rPr>
          <w:sz w:val="20"/>
        </w:rPr>
        <w:t>”) that had expressed</w:t>
      </w:r>
      <w:r>
        <w:rPr>
          <w:spacing w:val="-15"/>
          <w:sz w:val="20"/>
        </w:rPr>
        <w:t> </w:t>
      </w:r>
      <w:r>
        <w:rPr>
          <w:sz w:val="20"/>
        </w:rPr>
        <w:t>interest</w:t>
      </w:r>
      <w:r>
        <w:rPr>
          <w:spacing w:val="-15"/>
          <w:sz w:val="20"/>
        </w:rPr>
        <w:t> </w:t>
      </w:r>
      <w:r>
        <w:rPr>
          <w:sz w:val="20"/>
        </w:rPr>
        <w:t>in</w:t>
      </w:r>
      <w:r>
        <w:rPr>
          <w:spacing w:val="-15"/>
          <w:sz w:val="20"/>
        </w:rPr>
        <w:t> </w:t>
      </w:r>
      <w:r>
        <w:rPr>
          <w:sz w:val="20"/>
        </w:rPr>
        <w:t>investing</w:t>
      </w:r>
      <w:r>
        <w:rPr>
          <w:spacing w:val="-14"/>
          <w:sz w:val="20"/>
        </w:rPr>
        <w:t> </w:t>
      </w:r>
      <w:r>
        <w:rPr>
          <w:sz w:val="20"/>
        </w:rPr>
        <w:t>in</w:t>
      </w:r>
      <w:r>
        <w:rPr>
          <w:spacing w:val="-15"/>
          <w:sz w:val="20"/>
        </w:rPr>
        <w:t> </w:t>
      </w:r>
      <w:r>
        <w:rPr>
          <w:sz w:val="20"/>
        </w:rPr>
        <w:t>the</w:t>
      </w:r>
      <w:r>
        <w:rPr>
          <w:spacing w:val="-15"/>
          <w:sz w:val="20"/>
        </w:rPr>
        <w:t> </w:t>
      </w:r>
      <w:r>
        <w:rPr>
          <w:sz w:val="20"/>
        </w:rPr>
        <w:t>Nitrogen</w:t>
      </w:r>
      <w:r>
        <w:rPr>
          <w:spacing w:val="-14"/>
          <w:sz w:val="20"/>
        </w:rPr>
        <w:t> </w:t>
      </w:r>
      <w:r>
        <w:rPr>
          <w:sz w:val="20"/>
        </w:rPr>
        <w:t>Project.</w:t>
      </w:r>
      <w:r>
        <w:rPr>
          <w:spacing w:val="26"/>
          <w:sz w:val="20"/>
        </w:rPr>
        <w:t> </w:t>
      </w:r>
      <w:r>
        <w:rPr>
          <w:sz w:val="20"/>
        </w:rPr>
        <w:t>Anjaria</w:t>
      </w:r>
      <w:r>
        <w:rPr>
          <w:spacing w:val="-15"/>
          <w:sz w:val="20"/>
        </w:rPr>
        <w:t> </w:t>
      </w:r>
      <w:r>
        <w:rPr>
          <w:sz w:val="20"/>
        </w:rPr>
        <w:t>was</w:t>
      </w:r>
      <w:r>
        <w:rPr>
          <w:spacing w:val="-14"/>
          <w:sz w:val="20"/>
        </w:rPr>
        <w:t> </w:t>
      </w:r>
      <w:r>
        <w:rPr>
          <w:sz w:val="20"/>
        </w:rPr>
        <w:t>very</w:t>
      </w:r>
      <w:r>
        <w:rPr>
          <w:spacing w:val="-13"/>
          <w:sz w:val="20"/>
        </w:rPr>
        <w:t> </w:t>
      </w:r>
      <w:r>
        <w:rPr>
          <w:sz w:val="20"/>
        </w:rPr>
        <w:t>appreciative</w:t>
      </w:r>
      <w:r>
        <w:rPr>
          <w:spacing w:val="-15"/>
          <w:sz w:val="20"/>
        </w:rPr>
        <w:t> </w:t>
      </w:r>
      <w:r>
        <w:rPr>
          <w:sz w:val="20"/>
        </w:rPr>
        <w:t>of</w:t>
      </w:r>
      <w:r>
        <w:rPr>
          <w:spacing w:val="-15"/>
          <w:sz w:val="20"/>
        </w:rPr>
        <w:t> </w:t>
      </w:r>
      <w:r>
        <w:rPr>
          <w:sz w:val="20"/>
        </w:rPr>
        <w:t>the</w:t>
      </w:r>
      <w:r>
        <w:rPr>
          <w:spacing w:val="-14"/>
          <w:sz w:val="20"/>
        </w:rPr>
        <w:t> </w:t>
      </w:r>
      <w:r>
        <w:rPr>
          <w:sz w:val="20"/>
        </w:rPr>
        <w:t>briefing, as</w:t>
      </w:r>
      <w:r>
        <w:rPr>
          <w:spacing w:val="-10"/>
          <w:sz w:val="20"/>
        </w:rPr>
        <w:t> </w:t>
      </w:r>
      <w:r>
        <w:rPr>
          <w:sz w:val="20"/>
        </w:rPr>
        <w:t>it</w:t>
      </w:r>
      <w:r>
        <w:rPr>
          <w:spacing w:val="-11"/>
          <w:sz w:val="20"/>
        </w:rPr>
        <w:t> </w:t>
      </w:r>
      <w:r>
        <w:rPr>
          <w:sz w:val="20"/>
        </w:rPr>
        <w:t>was</w:t>
      </w:r>
      <w:r>
        <w:rPr>
          <w:spacing w:val="-10"/>
          <w:sz w:val="20"/>
        </w:rPr>
        <w:t> </w:t>
      </w:r>
      <w:r>
        <w:rPr>
          <w:sz w:val="20"/>
        </w:rPr>
        <w:t>clear</w:t>
      </w:r>
      <w:r>
        <w:rPr>
          <w:spacing w:val="-10"/>
          <w:sz w:val="20"/>
        </w:rPr>
        <w:t> </w:t>
      </w:r>
      <w:r>
        <w:rPr>
          <w:sz w:val="20"/>
        </w:rPr>
        <w:t>to</w:t>
      </w:r>
      <w:r>
        <w:rPr>
          <w:spacing w:val="-10"/>
          <w:sz w:val="20"/>
        </w:rPr>
        <w:t> </w:t>
      </w:r>
      <w:r>
        <w:rPr>
          <w:sz w:val="20"/>
        </w:rPr>
        <w:t>Rowan</w:t>
      </w:r>
      <w:r>
        <w:rPr>
          <w:spacing w:val="-10"/>
          <w:sz w:val="20"/>
        </w:rPr>
        <w:t> </w:t>
      </w:r>
      <w:r>
        <w:rPr>
          <w:sz w:val="20"/>
        </w:rPr>
        <w:t>and</w:t>
      </w:r>
      <w:r>
        <w:rPr>
          <w:spacing w:val="-10"/>
          <w:sz w:val="20"/>
        </w:rPr>
        <w:t> </w:t>
      </w:r>
      <w:r>
        <w:rPr>
          <w:sz w:val="20"/>
        </w:rPr>
        <w:t>me,</w:t>
      </w:r>
      <w:r>
        <w:rPr>
          <w:spacing w:val="-11"/>
          <w:sz w:val="20"/>
        </w:rPr>
        <w:t> </w:t>
      </w:r>
      <w:r>
        <w:rPr>
          <w:sz w:val="20"/>
        </w:rPr>
        <w:t>that</w:t>
      </w:r>
      <w:r>
        <w:rPr>
          <w:spacing w:val="-10"/>
          <w:sz w:val="20"/>
        </w:rPr>
        <w:t> </w:t>
      </w:r>
      <w:r>
        <w:rPr>
          <w:sz w:val="20"/>
        </w:rPr>
        <w:t>he</w:t>
      </w:r>
      <w:r>
        <w:rPr>
          <w:spacing w:val="-9"/>
          <w:sz w:val="20"/>
        </w:rPr>
        <w:t> </w:t>
      </w:r>
      <w:r>
        <w:rPr>
          <w:sz w:val="20"/>
        </w:rPr>
        <w:t>had</w:t>
      </w:r>
      <w:r>
        <w:rPr>
          <w:spacing w:val="-10"/>
          <w:sz w:val="20"/>
        </w:rPr>
        <w:t> </w:t>
      </w:r>
      <w:r>
        <w:rPr>
          <w:sz w:val="20"/>
        </w:rPr>
        <w:t>not</w:t>
      </w:r>
      <w:r>
        <w:rPr>
          <w:spacing w:val="-11"/>
          <w:sz w:val="20"/>
        </w:rPr>
        <w:t> </w:t>
      </w:r>
      <w:r>
        <w:rPr>
          <w:sz w:val="20"/>
        </w:rPr>
        <w:t>received</w:t>
      </w:r>
      <w:r>
        <w:rPr>
          <w:spacing w:val="-10"/>
          <w:sz w:val="20"/>
        </w:rPr>
        <w:t> </w:t>
      </w:r>
      <w:r>
        <w:rPr>
          <w:sz w:val="20"/>
        </w:rPr>
        <w:t>such</w:t>
      </w:r>
      <w:r>
        <w:rPr>
          <w:spacing w:val="-10"/>
          <w:sz w:val="20"/>
        </w:rPr>
        <w:t> </w:t>
      </w:r>
      <w:r>
        <w:rPr>
          <w:sz w:val="20"/>
        </w:rPr>
        <w:t>a</w:t>
      </w:r>
      <w:r>
        <w:rPr>
          <w:spacing w:val="-10"/>
          <w:sz w:val="20"/>
        </w:rPr>
        <w:t> </w:t>
      </w:r>
      <w:r>
        <w:rPr>
          <w:sz w:val="20"/>
        </w:rPr>
        <w:t>briefing</w:t>
      </w:r>
      <w:r>
        <w:rPr>
          <w:spacing w:val="-10"/>
          <w:sz w:val="20"/>
        </w:rPr>
        <w:t> </w:t>
      </w:r>
      <w:r>
        <w:rPr>
          <w:sz w:val="20"/>
        </w:rPr>
        <w:t>from</w:t>
      </w:r>
      <w:r>
        <w:rPr>
          <w:spacing w:val="-10"/>
          <w:sz w:val="20"/>
        </w:rPr>
        <w:t> </w:t>
      </w:r>
      <w:r>
        <w:rPr>
          <w:sz w:val="20"/>
        </w:rPr>
        <w:t>Varma</w:t>
      </w:r>
      <w:r>
        <w:rPr>
          <w:spacing w:val="-9"/>
          <w:sz w:val="20"/>
        </w:rPr>
        <w:t> </w:t>
      </w:r>
      <w:r>
        <w:rPr>
          <w:sz w:val="20"/>
        </w:rPr>
        <w:t>or</w:t>
      </w:r>
      <w:r>
        <w:rPr>
          <w:spacing w:val="-10"/>
          <w:sz w:val="20"/>
        </w:rPr>
        <w:t> </w:t>
      </w:r>
      <w:r>
        <w:rPr>
          <w:sz w:val="20"/>
        </w:rPr>
        <w:t>Nanavaty. A significant portion of the meeting was devoted to discussions on the Nitrogen</w:t>
      </w:r>
      <w:r>
        <w:rPr>
          <w:spacing w:val="-24"/>
          <w:sz w:val="20"/>
        </w:rPr>
        <w:t> </w:t>
      </w:r>
      <w:r>
        <w:rPr>
          <w:sz w:val="20"/>
        </w:rPr>
        <w:t>Project.</w:t>
      </w:r>
    </w:p>
    <w:p>
      <w:pPr>
        <w:pStyle w:val="BodyText"/>
        <w:spacing w:before="10"/>
      </w:pPr>
    </w:p>
    <w:p>
      <w:pPr>
        <w:pStyle w:val="ListParagraph"/>
        <w:numPr>
          <w:ilvl w:val="0"/>
          <w:numId w:val="1"/>
        </w:numPr>
        <w:tabs>
          <w:tab w:pos="840" w:val="left" w:leader="none"/>
        </w:tabs>
        <w:spacing w:line="360" w:lineRule="auto" w:before="0" w:after="0"/>
        <w:ind w:left="839" w:right="1156" w:hanging="721"/>
        <w:jc w:val="both"/>
        <w:rPr>
          <w:sz w:val="20"/>
        </w:rPr>
      </w:pPr>
      <w:r>
        <w:rPr>
          <w:sz w:val="20"/>
        </w:rPr>
        <w:t>Anjaria</w:t>
      </w:r>
      <w:r>
        <w:rPr>
          <w:spacing w:val="-10"/>
          <w:sz w:val="20"/>
        </w:rPr>
        <w:t> </w:t>
      </w:r>
      <w:r>
        <w:rPr>
          <w:sz w:val="20"/>
        </w:rPr>
        <w:t>stated</w:t>
      </w:r>
      <w:r>
        <w:rPr>
          <w:spacing w:val="-10"/>
          <w:sz w:val="20"/>
        </w:rPr>
        <w:t> </w:t>
      </w:r>
      <w:r>
        <w:rPr>
          <w:sz w:val="20"/>
        </w:rPr>
        <w:t>to</w:t>
      </w:r>
      <w:r>
        <w:rPr>
          <w:spacing w:val="-8"/>
          <w:sz w:val="20"/>
        </w:rPr>
        <w:t> </w:t>
      </w:r>
      <w:r>
        <w:rPr>
          <w:sz w:val="20"/>
        </w:rPr>
        <w:t>Rowan</w:t>
      </w:r>
      <w:r>
        <w:rPr>
          <w:spacing w:val="-10"/>
          <w:sz w:val="20"/>
        </w:rPr>
        <w:t> </w:t>
      </w:r>
      <w:r>
        <w:rPr>
          <w:sz w:val="20"/>
        </w:rPr>
        <w:t>and</w:t>
      </w:r>
      <w:r>
        <w:rPr>
          <w:spacing w:val="-9"/>
          <w:sz w:val="20"/>
        </w:rPr>
        <w:t> </w:t>
      </w:r>
      <w:r>
        <w:rPr>
          <w:sz w:val="20"/>
        </w:rPr>
        <w:t>me,</w:t>
      </w:r>
      <w:r>
        <w:rPr>
          <w:spacing w:val="-8"/>
          <w:sz w:val="20"/>
        </w:rPr>
        <w:t> </w:t>
      </w:r>
      <w:r>
        <w:rPr>
          <w:sz w:val="20"/>
        </w:rPr>
        <w:t>that</w:t>
      </w:r>
      <w:r>
        <w:rPr>
          <w:spacing w:val="-9"/>
          <w:sz w:val="20"/>
        </w:rPr>
        <w:t> </w:t>
      </w:r>
      <w:r>
        <w:rPr>
          <w:sz w:val="20"/>
        </w:rPr>
        <w:t>in</w:t>
      </w:r>
      <w:r>
        <w:rPr>
          <w:spacing w:val="-10"/>
          <w:sz w:val="20"/>
        </w:rPr>
        <w:t> </w:t>
      </w:r>
      <w:r>
        <w:rPr>
          <w:sz w:val="20"/>
        </w:rPr>
        <w:t>his</w:t>
      </w:r>
      <w:r>
        <w:rPr>
          <w:spacing w:val="-8"/>
          <w:sz w:val="20"/>
        </w:rPr>
        <w:t> </w:t>
      </w:r>
      <w:r>
        <w:rPr>
          <w:sz w:val="20"/>
        </w:rPr>
        <w:t>view,</w:t>
      </w:r>
      <w:r>
        <w:rPr>
          <w:spacing w:val="-9"/>
          <w:sz w:val="20"/>
        </w:rPr>
        <w:t> </w:t>
      </w:r>
      <w:r>
        <w:rPr>
          <w:sz w:val="20"/>
        </w:rPr>
        <w:t>“</w:t>
      </w:r>
      <w:r>
        <w:rPr>
          <w:i/>
          <w:sz w:val="20"/>
        </w:rPr>
        <w:t>spending</w:t>
      </w:r>
      <w:r>
        <w:rPr>
          <w:i/>
          <w:spacing w:val="-9"/>
          <w:sz w:val="20"/>
        </w:rPr>
        <w:t> </w:t>
      </w:r>
      <w:r>
        <w:rPr>
          <w:i/>
          <w:sz w:val="20"/>
        </w:rPr>
        <w:t>KRN’s</w:t>
      </w:r>
      <w:r>
        <w:rPr>
          <w:i/>
          <w:spacing w:val="-9"/>
          <w:sz w:val="20"/>
        </w:rPr>
        <w:t> </w:t>
      </w:r>
      <w:r>
        <w:rPr>
          <w:i/>
          <w:sz w:val="20"/>
        </w:rPr>
        <w:t>cash</w:t>
      </w:r>
      <w:r>
        <w:rPr>
          <w:i/>
          <w:spacing w:val="-9"/>
          <w:sz w:val="20"/>
        </w:rPr>
        <w:t> </w:t>
      </w:r>
      <w:r>
        <w:rPr>
          <w:i/>
          <w:sz w:val="20"/>
        </w:rPr>
        <w:t>resources</w:t>
      </w:r>
      <w:r>
        <w:rPr>
          <w:i/>
          <w:spacing w:val="-8"/>
          <w:sz w:val="20"/>
        </w:rPr>
        <w:t> </w:t>
      </w:r>
      <w:r>
        <w:rPr>
          <w:i/>
          <w:sz w:val="20"/>
        </w:rPr>
        <w:t>on</w:t>
      </w:r>
      <w:r>
        <w:rPr>
          <w:i/>
          <w:spacing w:val="-9"/>
          <w:sz w:val="20"/>
        </w:rPr>
        <w:t> </w:t>
      </w:r>
      <w:r>
        <w:rPr>
          <w:i/>
          <w:sz w:val="20"/>
        </w:rPr>
        <w:t>investigating </w:t>
      </w:r>
      <w:r>
        <w:rPr>
          <w:i/>
          <w:sz w:val="20"/>
        </w:rPr>
        <w:t>the Nitrogen Project was a responsible use of cash</w:t>
      </w:r>
      <w:r>
        <w:rPr>
          <w:sz w:val="20"/>
        </w:rPr>
        <w:t>.” Rowan and I were pleased that Anjaria appeared to be in full alignment with KRN’s strategy and were hopeful that he might be able positively influence Varma and Nanavaty to bring the KRN Board back into</w:t>
      </w:r>
      <w:r>
        <w:rPr>
          <w:spacing w:val="-21"/>
          <w:sz w:val="20"/>
        </w:rPr>
        <w:t> </w:t>
      </w:r>
      <w:r>
        <w:rPr>
          <w:sz w:val="20"/>
        </w:rPr>
        <w:t>compliance.</w:t>
      </w:r>
    </w:p>
    <w:p>
      <w:pPr>
        <w:spacing w:after="0" w:line="360" w:lineRule="auto"/>
        <w:jc w:val="both"/>
        <w:rPr>
          <w:sz w:val="20"/>
        </w:rPr>
        <w:sectPr>
          <w:footerReference w:type="default" r:id="rId12"/>
          <w:pgSz w:w="12240" w:h="15840"/>
          <w:pgMar w:footer="1259" w:header="0" w:top="1220" w:bottom="1440" w:left="1320" w:right="280"/>
          <w:pgNumType w:start="14"/>
        </w:sectPr>
      </w:pPr>
    </w:p>
    <w:p>
      <w:pPr>
        <w:pStyle w:val="ListParagraph"/>
        <w:numPr>
          <w:ilvl w:val="0"/>
          <w:numId w:val="1"/>
        </w:numPr>
        <w:tabs>
          <w:tab w:pos="841" w:val="left" w:leader="none"/>
        </w:tabs>
        <w:spacing w:line="360" w:lineRule="auto" w:before="75" w:after="0"/>
        <w:ind w:left="839" w:right="1156" w:hanging="720"/>
        <w:jc w:val="both"/>
        <w:rPr>
          <w:sz w:val="20"/>
        </w:rPr>
      </w:pPr>
      <w:r>
        <w:rPr/>
        <w:drawing>
          <wp:anchor distT="0" distB="0" distL="0" distR="0" allowOverlap="1" layoutInCell="1" locked="0" behindDoc="0" simplePos="0" relativeHeight="251680768">
            <wp:simplePos x="0" y="0"/>
            <wp:positionH relativeFrom="page">
              <wp:posOffset>6842112</wp:posOffset>
            </wp:positionH>
            <wp:positionV relativeFrom="page">
              <wp:posOffset>9409489</wp:posOffset>
            </wp:positionV>
            <wp:extent cx="547560" cy="555707"/>
            <wp:effectExtent l="0" t="0" r="0" b="0"/>
            <wp:wrapNone/>
            <wp:docPr id="25" name="image4.png"/>
            <wp:cNvGraphicFramePr>
              <a:graphicFrameLocks noChangeAspect="1"/>
            </wp:cNvGraphicFramePr>
            <a:graphic>
              <a:graphicData uri="http://schemas.openxmlformats.org/drawingml/2006/picture">
                <pic:pic>
                  <pic:nvPicPr>
                    <pic:cNvPr id="26" name="image4.png"/>
                    <pic:cNvPicPr/>
                  </pic:nvPicPr>
                  <pic:blipFill>
                    <a:blip r:embed="rId9" cstate="print"/>
                    <a:stretch>
                      <a:fillRect/>
                    </a:stretch>
                  </pic:blipFill>
                  <pic:spPr>
                    <a:xfrm>
                      <a:off x="0" y="0"/>
                      <a:ext cx="547560" cy="555707"/>
                    </a:xfrm>
                    <a:prstGeom prst="rect">
                      <a:avLst/>
                    </a:prstGeom>
                  </pic:spPr>
                </pic:pic>
              </a:graphicData>
            </a:graphic>
          </wp:anchor>
        </w:drawing>
      </w:r>
      <w:r>
        <w:rPr/>
        <w:drawing>
          <wp:anchor distT="0" distB="0" distL="0" distR="0" allowOverlap="1" layoutInCell="1" locked="0" behindDoc="0" simplePos="0" relativeHeight="251681792">
            <wp:simplePos x="0" y="0"/>
            <wp:positionH relativeFrom="page">
              <wp:posOffset>5784659</wp:posOffset>
            </wp:positionH>
            <wp:positionV relativeFrom="page">
              <wp:posOffset>9379443</wp:posOffset>
            </wp:positionV>
            <wp:extent cx="876722" cy="555707"/>
            <wp:effectExtent l="0" t="0" r="0" b="0"/>
            <wp:wrapNone/>
            <wp:docPr id="27" name="image5.png"/>
            <wp:cNvGraphicFramePr>
              <a:graphicFrameLocks noChangeAspect="1"/>
            </wp:cNvGraphicFramePr>
            <a:graphic>
              <a:graphicData uri="http://schemas.openxmlformats.org/drawingml/2006/picture">
                <pic:pic>
                  <pic:nvPicPr>
                    <pic:cNvPr id="28" name="image5.png"/>
                    <pic:cNvPicPr/>
                  </pic:nvPicPr>
                  <pic:blipFill>
                    <a:blip r:embed="rId10" cstate="print"/>
                    <a:stretch>
                      <a:fillRect/>
                    </a:stretch>
                  </pic:blipFill>
                  <pic:spPr>
                    <a:xfrm>
                      <a:off x="0" y="0"/>
                      <a:ext cx="876722" cy="555707"/>
                    </a:xfrm>
                    <a:prstGeom prst="rect">
                      <a:avLst/>
                    </a:prstGeom>
                  </pic:spPr>
                </pic:pic>
              </a:graphicData>
            </a:graphic>
          </wp:anchor>
        </w:drawing>
      </w:r>
      <w:r>
        <w:rPr>
          <w:sz w:val="20"/>
        </w:rPr>
        <w:t>On</w:t>
      </w:r>
      <w:r>
        <w:rPr>
          <w:spacing w:val="-4"/>
          <w:sz w:val="20"/>
        </w:rPr>
        <w:t> </w:t>
      </w:r>
      <w:r>
        <w:rPr>
          <w:sz w:val="20"/>
        </w:rPr>
        <w:t>August</w:t>
      </w:r>
      <w:r>
        <w:rPr>
          <w:spacing w:val="-5"/>
          <w:sz w:val="20"/>
        </w:rPr>
        <w:t> </w:t>
      </w:r>
      <w:r>
        <w:rPr>
          <w:sz w:val="20"/>
        </w:rPr>
        <w:t>8,</w:t>
      </w:r>
      <w:r>
        <w:rPr>
          <w:spacing w:val="-5"/>
          <w:sz w:val="20"/>
        </w:rPr>
        <w:t> </w:t>
      </w:r>
      <w:r>
        <w:rPr>
          <w:sz w:val="20"/>
        </w:rPr>
        <w:t>2019,</w:t>
      </w:r>
      <w:r>
        <w:rPr>
          <w:spacing w:val="-5"/>
          <w:sz w:val="20"/>
        </w:rPr>
        <w:t> </w:t>
      </w:r>
      <w:r>
        <w:rPr>
          <w:sz w:val="20"/>
        </w:rPr>
        <w:t>Anjaria</w:t>
      </w:r>
      <w:r>
        <w:rPr>
          <w:spacing w:val="-5"/>
          <w:sz w:val="20"/>
        </w:rPr>
        <w:t> </w:t>
      </w:r>
      <w:r>
        <w:rPr>
          <w:sz w:val="20"/>
        </w:rPr>
        <w:t>was</w:t>
      </w:r>
      <w:r>
        <w:rPr>
          <w:spacing w:val="-3"/>
          <w:sz w:val="20"/>
        </w:rPr>
        <w:t> </w:t>
      </w:r>
      <w:r>
        <w:rPr>
          <w:sz w:val="20"/>
        </w:rPr>
        <w:t>appointed</w:t>
      </w:r>
      <w:r>
        <w:rPr>
          <w:spacing w:val="-4"/>
          <w:sz w:val="20"/>
        </w:rPr>
        <w:t> </w:t>
      </w:r>
      <w:r>
        <w:rPr>
          <w:sz w:val="20"/>
        </w:rPr>
        <w:t>to</w:t>
      </w:r>
      <w:r>
        <w:rPr>
          <w:spacing w:val="-4"/>
          <w:sz w:val="20"/>
        </w:rPr>
        <w:t> </w:t>
      </w:r>
      <w:r>
        <w:rPr>
          <w:sz w:val="20"/>
        </w:rPr>
        <w:t>the</w:t>
      </w:r>
      <w:r>
        <w:rPr>
          <w:spacing w:val="-4"/>
          <w:sz w:val="20"/>
        </w:rPr>
        <w:t> </w:t>
      </w:r>
      <w:r>
        <w:rPr>
          <w:sz w:val="20"/>
        </w:rPr>
        <w:t>KRN</w:t>
      </w:r>
      <w:r>
        <w:rPr>
          <w:spacing w:val="-4"/>
          <w:sz w:val="20"/>
        </w:rPr>
        <w:t> </w:t>
      </w:r>
      <w:r>
        <w:rPr>
          <w:sz w:val="20"/>
        </w:rPr>
        <w:t>Board,</w:t>
      </w:r>
      <w:r>
        <w:rPr>
          <w:spacing w:val="-5"/>
          <w:sz w:val="20"/>
        </w:rPr>
        <w:t> </w:t>
      </w:r>
      <w:r>
        <w:rPr>
          <w:sz w:val="20"/>
        </w:rPr>
        <w:t>giving</w:t>
      </w:r>
      <w:r>
        <w:rPr>
          <w:spacing w:val="-3"/>
          <w:sz w:val="20"/>
        </w:rPr>
        <w:t> </w:t>
      </w:r>
      <w:r>
        <w:rPr>
          <w:sz w:val="20"/>
        </w:rPr>
        <w:t>GSFC</w:t>
      </w:r>
      <w:r>
        <w:rPr>
          <w:spacing w:val="-4"/>
          <w:sz w:val="20"/>
        </w:rPr>
        <w:t> </w:t>
      </w:r>
      <w:r>
        <w:rPr>
          <w:sz w:val="20"/>
        </w:rPr>
        <w:t>three</w:t>
      </w:r>
      <w:r>
        <w:rPr>
          <w:spacing w:val="-4"/>
          <w:sz w:val="20"/>
        </w:rPr>
        <w:t> </w:t>
      </w:r>
      <w:r>
        <w:rPr>
          <w:sz w:val="20"/>
        </w:rPr>
        <w:t>(3)</w:t>
      </w:r>
      <w:r>
        <w:rPr>
          <w:spacing w:val="-4"/>
          <w:sz w:val="20"/>
        </w:rPr>
        <w:t> </w:t>
      </w:r>
      <w:r>
        <w:rPr>
          <w:sz w:val="20"/>
        </w:rPr>
        <w:t>of</w:t>
      </w:r>
      <w:r>
        <w:rPr>
          <w:spacing w:val="-5"/>
          <w:sz w:val="20"/>
        </w:rPr>
        <w:t> </w:t>
      </w:r>
      <w:r>
        <w:rPr>
          <w:sz w:val="20"/>
        </w:rPr>
        <w:t>the</w:t>
      </w:r>
      <w:r>
        <w:rPr>
          <w:spacing w:val="-4"/>
          <w:sz w:val="20"/>
        </w:rPr>
        <w:t> </w:t>
      </w:r>
      <w:r>
        <w:rPr>
          <w:sz w:val="20"/>
        </w:rPr>
        <w:t>four</w:t>
      </w:r>
      <w:r>
        <w:rPr>
          <w:spacing w:val="-4"/>
          <w:sz w:val="20"/>
        </w:rPr>
        <w:t> </w:t>
      </w:r>
      <w:r>
        <w:rPr>
          <w:sz w:val="20"/>
        </w:rPr>
        <w:t>(4) seats on the KRN Board. Attached and marked as </w:t>
      </w:r>
      <w:r>
        <w:rPr>
          <w:b/>
          <w:sz w:val="20"/>
        </w:rPr>
        <w:t>Exhibit “Q” </w:t>
      </w:r>
      <w:r>
        <w:rPr>
          <w:sz w:val="20"/>
        </w:rPr>
        <w:t>to the FDW Affidavit is a copy of the Karnaltye press release dated August 9,</w:t>
      </w:r>
      <w:r>
        <w:rPr>
          <w:spacing w:val="-8"/>
          <w:sz w:val="20"/>
        </w:rPr>
        <w:t> </w:t>
      </w:r>
      <w:r>
        <w:rPr>
          <w:sz w:val="20"/>
        </w:rPr>
        <w:t>2019.</w:t>
      </w:r>
    </w:p>
    <w:p>
      <w:pPr>
        <w:pStyle w:val="BodyText"/>
        <w:spacing w:before="10"/>
      </w:pPr>
    </w:p>
    <w:p>
      <w:pPr>
        <w:pStyle w:val="ListParagraph"/>
        <w:numPr>
          <w:ilvl w:val="0"/>
          <w:numId w:val="1"/>
        </w:numPr>
        <w:tabs>
          <w:tab w:pos="841" w:val="left" w:leader="none"/>
        </w:tabs>
        <w:spacing w:line="360" w:lineRule="auto" w:before="0" w:after="0"/>
        <w:ind w:left="839" w:right="1156" w:hanging="720"/>
        <w:jc w:val="both"/>
        <w:rPr>
          <w:sz w:val="20"/>
        </w:rPr>
      </w:pPr>
      <w:r>
        <w:rPr>
          <w:sz w:val="20"/>
        </w:rPr>
        <w:t>I verily believe that Varma was intentionally lying about Anjaria’s nomination and independence in an attempt to mislead the Canadian capital markets in order to hide the expanding control of the KRN Board by</w:t>
      </w:r>
      <w:r>
        <w:rPr>
          <w:spacing w:val="-2"/>
          <w:sz w:val="20"/>
        </w:rPr>
        <w:t> </w:t>
      </w:r>
      <w:r>
        <w:rPr>
          <w:sz w:val="20"/>
        </w:rPr>
        <w:t>GSFC.</w:t>
      </w:r>
    </w:p>
    <w:p>
      <w:pPr>
        <w:pStyle w:val="BodyText"/>
        <w:spacing w:before="10"/>
      </w:pPr>
    </w:p>
    <w:p>
      <w:pPr>
        <w:pStyle w:val="ListParagraph"/>
        <w:numPr>
          <w:ilvl w:val="0"/>
          <w:numId w:val="5"/>
        </w:numPr>
        <w:tabs>
          <w:tab w:pos="839" w:val="left" w:leader="none"/>
          <w:tab w:pos="841" w:val="left" w:leader="none"/>
        </w:tabs>
        <w:spacing w:line="240" w:lineRule="auto" w:before="1" w:after="0"/>
        <w:ind w:left="840" w:right="0" w:hanging="721"/>
        <w:jc w:val="left"/>
        <w:rPr>
          <w:sz w:val="20"/>
        </w:rPr>
      </w:pPr>
      <w:r>
        <w:rPr>
          <w:sz w:val="20"/>
          <w:u w:val="single"/>
        </w:rPr>
        <w:t>TSX Inquiry as to the Independence of the GSFC</w:t>
      </w:r>
      <w:r>
        <w:rPr>
          <w:spacing w:val="-8"/>
          <w:sz w:val="20"/>
          <w:u w:val="single"/>
        </w:rPr>
        <w:t> </w:t>
      </w:r>
      <w:r>
        <w:rPr>
          <w:sz w:val="20"/>
          <w:u w:val="single"/>
        </w:rPr>
        <w:t>Nominees</w:t>
      </w:r>
    </w:p>
    <w:p>
      <w:pPr>
        <w:pStyle w:val="BodyText"/>
        <w:spacing w:before="7"/>
        <w:rPr>
          <w:sz w:val="22"/>
        </w:rPr>
      </w:pPr>
    </w:p>
    <w:p>
      <w:pPr>
        <w:pStyle w:val="ListParagraph"/>
        <w:numPr>
          <w:ilvl w:val="0"/>
          <w:numId w:val="1"/>
        </w:numPr>
        <w:tabs>
          <w:tab w:pos="841" w:val="left" w:leader="none"/>
        </w:tabs>
        <w:spacing w:line="360" w:lineRule="auto" w:before="94" w:after="0"/>
        <w:ind w:left="839" w:right="1155" w:hanging="720"/>
        <w:jc w:val="both"/>
        <w:rPr>
          <w:sz w:val="20"/>
        </w:rPr>
      </w:pPr>
      <w:r>
        <w:rPr>
          <w:sz w:val="20"/>
        </w:rPr>
        <w:t>Shortly</w:t>
      </w:r>
      <w:r>
        <w:rPr>
          <w:spacing w:val="-6"/>
          <w:sz w:val="20"/>
        </w:rPr>
        <w:t> </w:t>
      </w:r>
      <w:r>
        <w:rPr>
          <w:sz w:val="20"/>
        </w:rPr>
        <w:t>after</w:t>
      </w:r>
      <w:r>
        <w:rPr>
          <w:spacing w:val="-6"/>
          <w:sz w:val="20"/>
        </w:rPr>
        <w:t> </w:t>
      </w:r>
      <w:r>
        <w:rPr>
          <w:sz w:val="20"/>
        </w:rPr>
        <w:t>Anjaria</w:t>
      </w:r>
      <w:r>
        <w:rPr>
          <w:spacing w:val="-5"/>
          <w:sz w:val="20"/>
        </w:rPr>
        <w:t> </w:t>
      </w:r>
      <w:r>
        <w:rPr>
          <w:sz w:val="20"/>
        </w:rPr>
        <w:t>was</w:t>
      </w:r>
      <w:r>
        <w:rPr>
          <w:spacing w:val="-5"/>
          <w:sz w:val="20"/>
        </w:rPr>
        <w:t> </w:t>
      </w:r>
      <w:r>
        <w:rPr>
          <w:sz w:val="20"/>
        </w:rPr>
        <w:t>appointed</w:t>
      </w:r>
      <w:r>
        <w:rPr>
          <w:spacing w:val="-4"/>
          <w:sz w:val="20"/>
        </w:rPr>
        <w:t> </w:t>
      </w:r>
      <w:r>
        <w:rPr>
          <w:sz w:val="20"/>
        </w:rPr>
        <w:t>to</w:t>
      </w:r>
      <w:r>
        <w:rPr>
          <w:spacing w:val="-5"/>
          <w:sz w:val="20"/>
        </w:rPr>
        <w:t> </w:t>
      </w:r>
      <w:r>
        <w:rPr>
          <w:sz w:val="20"/>
        </w:rPr>
        <w:t>the</w:t>
      </w:r>
      <w:r>
        <w:rPr>
          <w:spacing w:val="-5"/>
          <w:sz w:val="20"/>
        </w:rPr>
        <w:t> </w:t>
      </w:r>
      <w:r>
        <w:rPr>
          <w:sz w:val="20"/>
        </w:rPr>
        <w:t>KRN</w:t>
      </w:r>
      <w:r>
        <w:rPr>
          <w:spacing w:val="-4"/>
          <w:sz w:val="20"/>
        </w:rPr>
        <w:t> </w:t>
      </w:r>
      <w:r>
        <w:rPr>
          <w:sz w:val="20"/>
        </w:rPr>
        <w:t>Board,</w:t>
      </w:r>
      <w:r>
        <w:rPr>
          <w:spacing w:val="-6"/>
          <w:sz w:val="20"/>
        </w:rPr>
        <w:t> </w:t>
      </w:r>
      <w:r>
        <w:rPr>
          <w:sz w:val="20"/>
        </w:rPr>
        <w:t>the</w:t>
      </w:r>
      <w:r>
        <w:rPr>
          <w:spacing w:val="-4"/>
          <w:sz w:val="20"/>
        </w:rPr>
        <w:t> </w:t>
      </w:r>
      <w:r>
        <w:rPr>
          <w:sz w:val="20"/>
        </w:rPr>
        <w:t>TSX</w:t>
      </w:r>
      <w:r>
        <w:rPr>
          <w:spacing w:val="-6"/>
          <w:sz w:val="20"/>
        </w:rPr>
        <w:t> </w:t>
      </w:r>
      <w:r>
        <w:rPr>
          <w:sz w:val="20"/>
        </w:rPr>
        <w:t>inquired</w:t>
      </w:r>
      <w:r>
        <w:rPr>
          <w:spacing w:val="-5"/>
          <w:sz w:val="20"/>
        </w:rPr>
        <w:t> </w:t>
      </w:r>
      <w:r>
        <w:rPr>
          <w:sz w:val="20"/>
        </w:rPr>
        <w:t>as</w:t>
      </w:r>
      <w:r>
        <w:rPr>
          <w:spacing w:val="-5"/>
          <w:sz w:val="20"/>
        </w:rPr>
        <w:t> </w:t>
      </w:r>
      <w:r>
        <w:rPr>
          <w:sz w:val="20"/>
        </w:rPr>
        <w:t>to</w:t>
      </w:r>
      <w:r>
        <w:rPr>
          <w:spacing w:val="-5"/>
          <w:sz w:val="20"/>
        </w:rPr>
        <w:t> </w:t>
      </w:r>
      <w:r>
        <w:rPr>
          <w:sz w:val="20"/>
        </w:rPr>
        <w:t>the</w:t>
      </w:r>
      <w:r>
        <w:rPr>
          <w:spacing w:val="-4"/>
          <w:sz w:val="20"/>
        </w:rPr>
        <w:t> </w:t>
      </w:r>
      <w:r>
        <w:rPr>
          <w:sz w:val="20"/>
        </w:rPr>
        <w:t>independence</w:t>
      </w:r>
      <w:r>
        <w:rPr>
          <w:spacing w:val="-5"/>
          <w:sz w:val="20"/>
        </w:rPr>
        <w:t> </w:t>
      </w:r>
      <w:r>
        <w:rPr>
          <w:sz w:val="20"/>
        </w:rPr>
        <w:t>of the KRN Board. The TSX stated in correspondence to Karnalyte that, in their view, neither Varma nor Nanavaty were independent according to TSX Rules, as they were employees of GSFC, a 38.73% shareholder of KRN. The TSX also questioned how Karnalyte could consider Anjaria to be independent, given he is a director and nominee of</w:t>
      </w:r>
      <w:r>
        <w:rPr>
          <w:spacing w:val="-11"/>
          <w:sz w:val="20"/>
        </w:rPr>
        <w:t> </w:t>
      </w:r>
      <w:r>
        <w:rPr>
          <w:sz w:val="20"/>
        </w:rPr>
        <w:t>GSFC.</w:t>
      </w:r>
    </w:p>
    <w:p>
      <w:pPr>
        <w:pStyle w:val="BodyText"/>
        <w:spacing w:before="11"/>
      </w:pPr>
    </w:p>
    <w:p>
      <w:pPr>
        <w:pStyle w:val="ListParagraph"/>
        <w:numPr>
          <w:ilvl w:val="0"/>
          <w:numId w:val="1"/>
        </w:numPr>
        <w:tabs>
          <w:tab w:pos="840" w:val="left" w:leader="none"/>
        </w:tabs>
        <w:spacing w:line="360" w:lineRule="auto" w:before="0" w:after="0"/>
        <w:ind w:left="839" w:right="1157" w:hanging="721"/>
        <w:jc w:val="both"/>
        <w:rPr>
          <w:sz w:val="20"/>
        </w:rPr>
      </w:pPr>
      <w:r>
        <w:rPr>
          <w:sz w:val="20"/>
        </w:rPr>
        <w:t>I am advised by Rowan, and verily believe that, after the TSX inquiries, Rowan suggested in a series</w:t>
      </w:r>
      <w:r>
        <w:rPr>
          <w:spacing w:val="-3"/>
          <w:sz w:val="20"/>
        </w:rPr>
        <w:t> </w:t>
      </w:r>
      <w:r>
        <w:rPr>
          <w:sz w:val="20"/>
        </w:rPr>
        <w:t>of</w:t>
      </w:r>
      <w:r>
        <w:rPr>
          <w:spacing w:val="-3"/>
          <w:sz w:val="20"/>
        </w:rPr>
        <w:t> </w:t>
      </w:r>
      <w:r>
        <w:rPr>
          <w:sz w:val="20"/>
        </w:rPr>
        <w:t>communications</w:t>
      </w:r>
      <w:r>
        <w:rPr>
          <w:spacing w:val="-3"/>
          <w:sz w:val="20"/>
        </w:rPr>
        <w:t> </w:t>
      </w:r>
      <w:r>
        <w:rPr>
          <w:sz w:val="20"/>
        </w:rPr>
        <w:t>with</w:t>
      </w:r>
      <w:r>
        <w:rPr>
          <w:spacing w:val="-2"/>
          <w:sz w:val="20"/>
        </w:rPr>
        <w:t> </w:t>
      </w:r>
      <w:r>
        <w:rPr>
          <w:sz w:val="20"/>
        </w:rPr>
        <w:t>Varma</w:t>
      </w:r>
      <w:r>
        <w:rPr>
          <w:spacing w:val="-3"/>
          <w:sz w:val="20"/>
        </w:rPr>
        <w:t> </w:t>
      </w:r>
      <w:r>
        <w:rPr>
          <w:sz w:val="20"/>
        </w:rPr>
        <w:t>that</w:t>
      </w:r>
      <w:r>
        <w:rPr>
          <w:spacing w:val="-3"/>
          <w:sz w:val="20"/>
        </w:rPr>
        <w:t> </w:t>
      </w:r>
      <w:r>
        <w:rPr>
          <w:sz w:val="20"/>
        </w:rPr>
        <w:t>one</w:t>
      </w:r>
      <w:r>
        <w:rPr>
          <w:spacing w:val="-3"/>
          <w:sz w:val="20"/>
        </w:rPr>
        <w:t> </w:t>
      </w:r>
      <w:r>
        <w:rPr>
          <w:sz w:val="20"/>
        </w:rPr>
        <w:t>(1)</w:t>
      </w:r>
      <w:r>
        <w:rPr>
          <w:spacing w:val="-4"/>
          <w:sz w:val="20"/>
        </w:rPr>
        <w:t> </w:t>
      </w:r>
      <w:r>
        <w:rPr>
          <w:sz w:val="20"/>
        </w:rPr>
        <w:t>of</w:t>
      </w:r>
      <w:r>
        <w:rPr>
          <w:spacing w:val="-3"/>
          <w:sz w:val="20"/>
        </w:rPr>
        <w:t> </w:t>
      </w:r>
      <w:r>
        <w:rPr>
          <w:sz w:val="20"/>
        </w:rPr>
        <w:t>the</w:t>
      </w:r>
      <w:r>
        <w:rPr>
          <w:spacing w:val="-2"/>
          <w:sz w:val="20"/>
        </w:rPr>
        <w:t> </w:t>
      </w:r>
      <w:r>
        <w:rPr>
          <w:sz w:val="20"/>
        </w:rPr>
        <w:t>two</w:t>
      </w:r>
      <w:r>
        <w:rPr>
          <w:spacing w:val="-4"/>
          <w:sz w:val="20"/>
        </w:rPr>
        <w:t> </w:t>
      </w:r>
      <w:r>
        <w:rPr>
          <w:sz w:val="20"/>
        </w:rPr>
        <w:t>(2)</w:t>
      </w:r>
      <w:r>
        <w:rPr>
          <w:spacing w:val="-2"/>
          <w:sz w:val="20"/>
        </w:rPr>
        <w:t> </w:t>
      </w:r>
      <w:r>
        <w:rPr>
          <w:sz w:val="20"/>
        </w:rPr>
        <w:t>GSFC</w:t>
      </w:r>
      <w:r>
        <w:rPr>
          <w:spacing w:val="-2"/>
          <w:sz w:val="20"/>
        </w:rPr>
        <w:t> </w:t>
      </w:r>
      <w:r>
        <w:rPr>
          <w:sz w:val="20"/>
        </w:rPr>
        <w:t>Nominees</w:t>
      </w:r>
      <w:r>
        <w:rPr>
          <w:spacing w:val="-2"/>
          <w:sz w:val="20"/>
        </w:rPr>
        <w:t> </w:t>
      </w:r>
      <w:r>
        <w:rPr>
          <w:sz w:val="20"/>
        </w:rPr>
        <w:t>should</w:t>
      </w:r>
      <w:r>
        <w:rPr>
          <w:spacing w:val="-4"/>
          <w:sz w:val="20"/>
        </w:rPr>
        <w:t> </w:t>
      </w:r>
      <w:r>
        <w:rPr>
          <w:sz w:val="20"/>
        </w:rPr>
        <w:t>resign</w:t>
      </w:r>
      <w:r>
        <w:rPr>
          <w:spacing w:val="-3"/>
          <w:sz w:val="20"/>
        </w:rPr>
        <w:t> </w:t>
      </w:r>
      <w:r>
        <w:rPr>
          <w:sz w:val="20"/>
        </w:rPr>
        <w:t>to make room for the appointment of an independent director. Alternatively, Rowan suggested that a shareholders meeting could be called to expand the size of the KRN Board to ensure it had a majority of independent directors. Varma dismissed all of Rowan’s suggestions out of hand. I verily believe that Varma had no intention of considering any of Rowan’s suggestions, as to do so would mean giving up control of the KRN</w:t>
      </w:r>
      <w:r>
        <w:rPr>
          <w:spacing w:val="-9"/>
          <w:sz w:val="20"/>
        </w:rPr>
        <w:t> </w:t>
      </w:r>
      <w:r>
        <w:rPr>
          <w:sz w:val="20"/>
        </w:rPr>
        <w:t>Board.</w:t>
      </w:r>
    </w:p>
    <w:p>
      <w:pPr>
        <w:pStyle w:val="BodyText"/>
        <w:spacing w:before="10"/>
      </w:pPr>
    </w:p>
    <w:p>
      <w:pPr>
        <w:pStyle w:val="ListParagraph"/>
        <w:numPr>
          <w:ilvl w:val="0"/>
          <w:numId w:val="1"/>
        </w:numPr>
        <w:tabs>
          <w:tab w:pos="840" w:val="left" w:leader="none"/>
        </w:tabs>
        <w:spacing w:line="360" w:lineRule="auto" w:before="0" w:after="0"/>
        <w:ind w:left="839" w:right="1158" w:hanging="721"/>
        <w:jc w:val="both"/>
        <w:rPr>
          <w:sz w:val="20"/>
        </w:rPr>
      </w:pPr>
      <w:r>
        <w:rPr>
          <w:sz w:val="20"/>
        </w:rPr>
        <w:t>I am advised by Rowan, and verily believe, that shortly thereafter, Varma demanded that Rowan resign so that one of the independent candidates Rowan had recommended, could be appointed to the KRN Board. Rowan refused to</w:t>
      </w:r>
      <w:r>
        <w:rPr>
          <w:spacing w:val="-9"/>
          <w:sz w:val="20"/>
        </w:rPr>
        <w:t> </w:t>
      </w:r>
      <w:r>
        <w:rPr>
          <w:sz w:val="20"/>
        </w:rPr>
        <w:t>resign.</w:t>
      </w:r>
    </w:p>
    <w:p>
      <w:pPr>
        <w:pStyle w:val="BodyText"/>
        <w:spacing w:before="10"/>
      </w:pPr>
    </w:p>
    <w:p>
      <w:pPr>
        <w:pStyle w:val="ListParagraph"/>
        <w:numPr>
          <w:ilvl w:val="0"/>
          <w:numId w:val="1"/>
        </w:numPr>
        <w:tabs>
          <w:tab w:pos="840" w:val="left" w:leader="none"/>
        </w:tabs>
        <w:spacing w:line="360" w:lineRule="auto" w:before="0" w:after="0"/>
        <w:ind w:left="839" w:right="1157" w:hanging="721"/>
        <w:jc w:val="both"/>
        <w:rPr>
          <w:sz w:val="20"/>
        </w:rPr>
      </w:pPr>
      <w:r>
        <w:rPr>
          <w:sz w:val="20"/>
        </w:rPr>
        <w:t>I verily believe that Varma, supported by Nanavaty and Anjaria, did everything in his power, from misleading the OSC and the TSX, to refusing to add a single independent director, for the sole purpose of maintaining control of the KRN</w:t>
      </w:r>
      <w:r>
        <w:rPr>
          <w:spacing w:val="-8"/>
          <w:sz w:val="20"/>
        </w:rPr>
        <w:t> </w:t>
      </w:r>
      <w:r>
        <w:rPr>
          <w:sz w:val="20"/>
        </w:rPr>
        <w:t>Board.</w:t>
      </w:r>
    </w:p>
    <w:p>
      <w:pPr>
        <w:pStyle w:val="BodyText"/>
        <w:spacing w:before="9"/>
      </w:pPr>
    </w:p>
    <w:p>
      <w:pPr>
        <w:pStyle w:val="ListParagraph"/>
        <w:numPr>
          <w:ilvl w:val="0"/>
          <w:numId w:val="5"/>
        </w:numPr>
        <w:tabs>
          <w:tab w:pos="839" w:val="left" w:leader="none"/>
          <w:tab w:pos="841" w:val="left" w:leader="none"/>
        </w:tabs>
        <w:spacing w:line="240" w:lineRule="auto" w:before="1" w:after="0"/>
        <w:ind w:left="840" w:right="0" w:hanging="721"/>
        <w:jc w:val="left"/>
        <w:rPr>
          <w:sz w:val="20"/>
        </w:rPr>
      </w:pPr>
      <w:r>
        <w:rPr>
          <w:sz w:val="20"/>
          <w:u w:val="single"/>
        </w:rPr>
        <w:t>GSFC Nomination Right – No Right to Control KRN</w:t>
      </w:r>
      <w:r>
        <w:rPr>
          <w:spacing w:val="-9"/>
          <w:sz w:val="20"/>
          <w:u w:val="single"/>
        </w:rPr>
        <w:t> </w:t>
      </w:r>
      <w:r>
        <w:rPr>
          <w:sz w:val="20"/>
          <w:u w:val="single"/>
        </w:rPr>
        <w:t>Board</w:t>
      </w:r>
    </w:p>
    <w:p>
      <w:pPr>
        <w:pStyle w:val="BodyText"/>
        <w:spacing w:before="7"/>
        <w:rPr>
          <w:sz w:val="22"/>
        </w:rPr>
      </w:pPr>
    </w:p>
    <w:p>
      <w:pPr>
        <w:pStyle w:val="ListParagraph"/>
        <w:numPr>
          <w:ilvl w:val="0"/>
          <w:numId w:val="1"/>
        </w:numPr>
        <w:tabs>
          <w:tab w:pos="839" w:val="left" w:leader="none"/>
          <w:tab w:pos="841" w:val="left" w:leader="none"/>
        </w:tabs>
        <w:spacing w:line="360" w:lineRule="auto" w:before="94" w:after="0"/>
        <w:ind w:left="840" w:right="1157" w:hanging="721"/>
        <w:jc w:val="left"/>
        <w:rPr>
          <w:sz w:val="20"/>
        </w:rPr>
      </w:pPr>
      <w:r>
        <w:rPr>
          <w:sz w:val="20"/>
        </w:rPr>
        <w:t>I</w:t>
      </w:r>
      <w:r>
        <w:rPr>
          <w:spacing w:val="-13"/>
          <w:sz w:val="20"/>
        </w:rPr>
        <w:t> </w:t>
      </w:r>
      <w:r>
        <w:rPr>
          <w:sz w:val="20"/>
        </w:rPr>
        <w:t>verily</w:t>
      </w:r>
      <w:r>
        <w:rPr>
          <w:spacing w:val="-11"/>
          <w:sz w:val="20"/>
        </w:rPr>
        <w:t> </w:t>
      </w:r>
      <w:r>
        <w:rPr>
          <w:sz w:val="20"/>
        </w:rPr>
        <w:t>believe</w:t>
      </w:r>
      <w:r>
        <w:rPr>
          <w:spacing w:val="-11"/>
          <w:sz w:val="20"/>
        </w:rPr>
        <w:t> </w:t>
      </w:r>
      <w:r>
        <w:rPr>
          <w:sz w:val="20"/>
        </w:rPr>
        <w:t>that</w:t>
      </w:r>
      <w:r>
        <w:rPr>
          <w:spacing w:val="-12"/>
          <w:sz w:val="20"/>
        </w:rPr>
        <w:t> </w:t>
      </w:r>
      <w:r>
        <w:rPr>
          <w:sz w:val="20"/>
        </w:rPr>
        <w:t>there</w:t>
      </w:r>
      <w:r>
        <w:rPr>
          <w:spacing w:val="-12"/>
          <w:sz w:val="20"/>
        </w:rPr>
        <w:t> </w:t>
      </w:r>
      <w:r>
        <w:rPr>
          <w:sz w:val="20"/>
        </w:rPr>
        <w:t>is</w:t>
      </w:r>
      <w:r>
        <w:rPr>
          <w:spacing w:val="-12"/>
          <w:sz w:val="20"/>
        </w:rPr>
        <w:t> </w:t>
      </w:r>
      <w:r>
        <w:rPr>
          <w:sz w:val="20"/>
        </w:rPr>
        <w:t>no</w:t>
      </w:r>
      <w:r>
        <w:rPr>
          <w:spacing w:val="-11"/>
          <w:sz w:val="20"/>
        </w:rPr>
        <w:t> </w:t>
      </w:r>
      <w:r>
        <w:rPr>
          <w:sz w:val="20"/>
        </w:rPr>
        <w:t>legal,</w:t>
      </w:r>
      <w:r>
        <w:rPr>
          <w:spacing w:val="-13"/>
          <w:sz w:val="20"/>
        </w:rPr>
        <w:t> </w:t>
      </w:r>
      <w:r>
        <w:rPr>
          <w:sz w:val="20"/>
        </w:rPr>
        <w:t>contractual</w:t>
      </w:r>
      <w:r>
        <w:rPr>
          <w:spacing w:val="-12"/>
          <w:sz w:val="20"/>
        </w:rPr>
        <w:t> </w:t>
      </w:r>
      <w:r>
        <w:rPr>
          <w:sz w:val="20"/>
        </w:rPr>
        <w:t>or</w:t>
      </w:r>
      <w:r>
        <w:rPr>
          <w:spacing w:val="-12"/>
          <w:sz w:val="20"/>
        </w:rPr>
        <w:t> </w:t>
      </w:r>
      <w:r>
        <w:rPr>
          <w:sz w:val="20"/>
        </w:rPr>
        <w:t>other</w:t>
      </w:r>
      <w:r>
        <w:rPr>
          <w:spacing w:val="-11"/>
          <w:sz w:val="20"/>
        </w:rPr>
        <w:t> </w:t>
      </w:r>
      <w:r>
        <w:rPr>
          <w:sz w:val="20"/>
        </w:rPr>
        <w:t>basis</w:t>
      </w:r>
      <w:r>
        <w:rPr>
          <w:spacing w:val="-11"/>
          <w:sz w:val="20"/>
        </w:rPr>
        <w:t> </w:t>
      </w:r>
      <w:r>
        <w:rPr>
          <w:sz w:val="20"/>
        </w:rPr>
        <w:t>for</w:t>
      </w:r>
      <w:r>
        <w:rPr>
          <w:spacing w:val="-11"/>
          <w:sz w:val="20"/>
        </w:rPr>
        <w:t> </w:t>
      </w:r>
      <w:r>
        <w:rPr>
          <w:sz w:val="20"/>
        </w:rPr>
        <w:t>GSFC</w:t>
      </w:r>
      <w:r>
        <w:rPr>
          <w:spacing w:val="-12"/>
          <w:sz w:val="20"/>
        </w:rPr>
        <w:t> </w:t>
      </w:r>
      <w:r>
        <w:rPr>
          <w:sz w:val="20"/>
        </w:rPr>
        <w:t>to</w:t>
      </w:r>
      <w:r>
        <w:rPr>
          <w:spacing w:val="-11"/>
          <w:sz w:val="20"/>
        </w:rPr>
        <w:t> </w:t>
      </w:r>
      <w:r>
        <w:rPr>
          <w:sz w:val="20"/>
        </w:rPr>
        <w:t>have</w:t>
      </w:r>
      <w:r>
        <w:rPr>
          <w:spacing w:val="-12"/>
          <w:sz w:val="20"/>
        </w:rPr>
        <w:t> </w:t>
      </w:r>
      <w:r>
        <w:rPr>
          <w:sz w:val="20"/>
        </w:rPr>
        <w:t>a</w:t>
      </w:r>
      <w:r>
        <w:rPr>
          <w:spacing w:val="-11"/>
          <w:sz w:val="20"/>
        </w:rPr>
        <w:t> </w:t>
      </w:r>
      <w:r>
        <w:rPr>
          <w:sz w:val="20"/>
        </w:rPr>
        <w:t>number</w:t>
      </w:r>
      <w:r>
        <w:rPr>
          <w:spacing w:val="-12"/>
          <w:sz w:val="20"/>
        </w:rPr>
        <w:t> </w:t>
      </w:r>
      <w:r>
        <w:rPr>
          <w:sz w:val="20"/>
        </w:rPr>
        <w:t>of</w:t>
      </w:r>
      <w:r>
        <w:rPr>
          <w:spacing w:val="-13"/>
          <w:sz w:val="20"/>
        </w:rPr>
        <w:t> </w:t>
      </w:r>
      <w:r>
        <w:rPr>
          <w:sz w:val="20"/>
        </w:rPr>
        <w:t>GSFC Nominees in excess of the number permitted under the GSFC Nomination</w:t>
      </w:r>
      <w:r>
        <w:rPr>
          <w:spacing w:val="-16"/>
          <w:sz w:val="20"/>
        </w:rPr>
        <w:t> </w:t>
      </w:r>
      <w:r>
        <w:rPr>
          <w:sz w:val="20"/>
        </w:rPr>
        <w:t>Right.</w:t>
      </w:r>
    </w:p>
    <w:p>
      <w:pPr>
        <w:pStyle w:val="BodyText"/>
        <w:spacing w:before="10"/>
      </w:pPr>
    </w:p>
    <w:p>
      <w:pPr>
        <w:pStyle w:val="ListParagraph"/>
        <w:numPr>
          <w:ilvl w:val="0"/>
          <w:numId w:val="1"/>
        </w:numPr>
        <w:tabs>
          <w:tab w:pos="839" w:val="left" w:leader="none"/>
          <w:tab w:pos="841" w:val="left" w:leader="none"/>
        </w:tabs>
        <w:spacing w:line="240" w:lineRule="auto" w:before="0" w:after="0"/>
        <w:ind w:left="840" w:right="0" w:hanging="722"/>
        <w:jc w:val="left"/>
        <w:rPr>
          <w:sz w:val="20"/>
        </w:rPr>
      </w:pPr>
      <w:r>
        <w:rPr>
          <w:sz w:val="20"/>
        </w:rPr>
        <w:t>I verily believe that</w:t>
      </w:r>
      <w:r>
        <w:rPr>
          <w:spacing w:val="-5"/>
          <w:sz w:val="20"/>
        </w:rPr>
        <w:t> </w:t>
      </w:r>
      <w:r>
        <w:rPr>
          <w:sz w:val="20"/>
        </w:rPr>
        <w:t>GSFC:</w:t>
      </w:r>
    </w:p>
    <w:p>
      <w:pPr>
        <w:pStyle w:val="BodyText"/>
        <w:rPr>
          <w:sz w:val="31"/>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r>
        <w:rPr>
          <w:sz w:val="20"/>
        </w:rPr>
        <w:t>is fully aware of the provisions of the GSFC Nomination</w:t>
      </w:r>
      <w:r>
        <w:rPr>
          <w:spacing w:val="-9"/>
          <w:sz w:val="20"/>
        </w:rPr>
        <w:t> </w:t>
      </w:r>
      <w:r>
        <w:rPr>
          <w:sz w:val="20"/>
        </w:rPr>
        <w:t>Right;</w:t>
      </w:r>
    </w:p>
    <w:p>
      <w:pPr>
        <w:spacing w:after="0" w:line="240" w:lineRule="auto"/>
        <w:jc w:val="left"/>
        <w:rPr>
          <w:rFonts w:ascii="Symbol" w:hAnsi="Symbol"/>
          <w:sz w:val="20"/>
        </w:rPr>
        <w:sectPr>
          <w:pgSz w:w="12240" w:h="15840"/>
          <w:pgMar w:header="0" w:footer="1259" w:top="1220" w:bottom="1440" w:left="1320" w:right="280"/>
        </w:sectPr>
      </w:pPr>
    </w:p>
    <w:p>
      <w:pPr>
        <w:pStyle w:val="ListParagraph"/>
        <w:numPr>
          <w:ilvl w:val="1"/>
          <w:numId w:val="1"/>
        </w:numPr>
        <w:tabs>
          <w:tab w:pos="1559" w:val="left" w:leader="none"/>
          <w:tab w:pos="1561" w:val="left" w:leader="none"/>
        </w:tabs>
        <w:spacing w:line="240" w:lineRule="auto" w:before="76" w:after="0"/>
        <w:ind w:left="1560" w:right="0" w:hanging="721"/>
        <w:jc w:val="left"/>
        <w:rPr>
          <w:rFonts w:ascii="Symbol" w:hAnsi="Symbol"/>
          <w:sz w:val="20"/>
        </w:rPr>
      </w:pPr>
      <w:r>
        <w:rPr/>
        <w:drawing>
          <wp:anchor distT="0" distB="0" distL="0" distR="0" allowOverlap="1" layoutInCell="1" locked="0" behindDoc="0" simplePos="0" relativeHeight="251682816">
            <wp:simplePos x="0" y="0"/>
            <wp:positionH relativeFrom="page">
              <wp:posOffset>6804558</wp:posOffset>
            </wp:positionH>
            <wp:positionV relativeFrom="page">
              <wp:posOffset>9311857</wp:posOffset>
            </wp:positionV>
            <wp:extent cx="547560" cy="555707"/>
            <wp:effectExtent l="0" t="0" r="0" b="0"/>
            <wp:wrapNone/>
            <wp:docPr id="29" name="image4.png"/>
            <wp:cNvGraphicFramePr>
              <a:graphicFrameLocks noChangeAspect="1"/>
            </wp:cNvGraphicFramePr>
            <a:graphic>
              <a:graphicData uri="http://schemas.openxmlformats.org/drawingml/2006/picture">
                <pic:pic>
                  <pic:nvPicPr>
                    <pic:cNvPr id="30" name="image4.png"/>
                    <pic:cNvPicPr/>
                  </pic:nvPicPr>
                  <pic:blipFill>
                    <a:blip r:embed="rId9" cstate="print"/>
                    <a:stretch>
                      <a:fillRect/>
                    </a:stretch>
                  </pic:blipFill>
                  <pic:spPr>
                    <a:xfrm>
                      <a:off x="0" y="0"/>
                      <a:ext cx="547560" cy="555707"/>
                    </a:xfrm>
                    <a:prstGeom prst="rect">
                      <a:avLst/>
                    </a:prstGeom>
                  </pic:spPr>
                </pic:pic>
              </a:graphicData>
            </a:graphic>
          </wp:anchor>
        </w:drawing>
      </w:r>
      <w:r>
        <w:rPr/>
        <w:drawing>
          <wp:anchor distT="0" distB="0" distL="0" distR="0" allowOverlap="1" layoutInCell="1" locked="0" behindDoc="0" simplePos="0" relativeHeight="251683840">
            <wp:simplePos x="0" y="0"/>
            <wp:positionH relativeFrom="page">
              <wp:posOffset>5874778</wp:posOffset>
            </wp:positionH>
            <wp:positionV relativeFrom="page">
              <wp:posOffset>9304351</wp:posOffset>
            </wp:positionV>
            <wp:extent cx="876722" cy="555707"/>
            <wp:effectExtent l="0" t="0" r="0" b="0"/>
            <wp:wrapNone/>
            <wp:docPr id="31" name="image5.png"/>
            <wp:cNvGraphicFramePr>
              <a:graphicFrameLocks noChangeAspect="1"/>
            </wp:cNvGraphicFramePr>
            <a:graphic>
              <a:graphicData uri="http://schemas.openxmlformats.org/drawingml/2006/picture">
                <pic:pic>
                  <pic:nvPicPr>
                    <pic:cNvPr id="32" name="image5.png"/>
                    <pic:cNvPicPr/>
                  </pic:nvPicPr>
                  <pic:blipFill>
                    <a:blip r:embed="rId10" cstate="print"/>
                    <a:stretch>
                      <a:fillRect/>
                    </a:stretch>
                  </pic:blipFill>
                  <pic:spPr>
                    <a:xfrm>
                      <a:off x="0" y="0"/>
                      <a:ext cx="876722" cy="555707"/>
                    </a:xfrm>
                    <a:prstGeom prst="rect">
                      <a:avLst/>
                    </a:prstGeom>
                  </pic:spPr>
                </pic:pic>
              </a:graphicData>
            </a:graphic>
          </wp:anchor>
        </w:drawing>
      </w:r>
      <w:r>
        <w:rPr>
          <w:sz w:val="20"/>
        </w:rPr>
        <w:t>has made a conscious decision not to comply with the GSFC Nomination Right;</w:t>
      </w:r>
      <w:r>
        <w:rPr>
          <w:spacing w:val="-34"/>
          <w:sz w:val="20"/>
        </w:rPr>
        <w:t> </w:t>
      </w:r>
      <w:r>
        <w:rPr>
          <w:sz w:val="20"/>
        </w:rPr>
        <w:t>and</w:t>
      </w:r>
    </w:p>
    <w:p>
      <w:pPr>
        <w:pStyle w:val="BodyText"/>
        <w:spacing w:before="9"/>
        <w:rPr>
          <w:sz w:val="30"/>
        </w:rPr>
      </w:pPr>
    </w:p>
    <w:p>
      <w:pPr>
        <w:pStyle w:val="ListParagraph"/>
        <w:numPr>
          <w:ilvl w:val="1"/>
          <w:numId w:val="1"/>
        </w:numPr>
        <w:tabs>
          <w:tab w:pos="1560" w:val="left" w:leader="none"/>
          <w:tab w:pos="1561" w:val="left" w:leader="none"/>
        </w:tabs>
        <w:spacing w:line="240" w:lineRule="auto" w:before="0" w:after="0"/>
        <w:ind w:left="1560" w:right="0" w:hanging="721"/>
        <w:jc w:val="left"/>
        <w:rPr>
          <w:rFonts w:ascii="Symbol" w:hAnsi="Symbol"/>
          <w:sz w:val="20"/>
        </w:rPr>
      </w:pPr>
      <w:r>
        <w:rPr>
          <w:sz w:val="20"/>
        </w:rPr>
        <w:t>has appointed a number of GSFC Nominees in excess of its contractual</w:t>
      </w:r>
      <w:r>
        <w:rPr>
          <w:spacing w:val="-32"/>
          <w:sz w:val="20"/>
        </w:rPr>
        <w:t> </w:t>
      </w:r>
      <w:r>
        <w:rPr>
          <w:sz w:val="20"/>
        </w:rPr>
        <w:t>entitlement;</w:t>
      </w:r>
    </w:p>
    <w:p>
      <w:pPr>
        <w:pStyle w:val="BodyText"/>
        <w:spacing w:before="6"/>
        <w:rPr>
          <w:sz w:val="30"/>
        </w:rPr>
      </w:pPr>
    </w:p>
    <w:p>
      <w:pPr>
        <w:pStyle w:val="BodyText"/>
        <w:spacing w:line="360" w:lineRule="auto" w:before="1"/>
        <w:ind w:left="840" w:right="1085"/>
      </w:pPr>
      <w:r>
        <w:rPr/>
        <w:t>for the sole reason of maintaining control of the KRN Board, in order to allow GSFC to treat KRN as its own private company.</w:t>
      </w:r>
    </w:p>
    <w:p>
      <w:pPr>
        <w:pStyle w:val="BodyText"/>
        <w:spacing w:before="10"/>
      </w:pPr>
    </w:p>
    <w:p>
      <w:pPr>
        <w:pStyle w:val="ListParagraph"/>
        <w:numPr>
          <w:ilvl w:val="0"/>
          <w:numId w:val="1"/>
        </w:numPr>
        <w:tabs>
          <w:tab w:pos="840" w:val="left" w:leader="none"/>
        </w:tabs>
        <w:spacing w:line="360" w:lineRule="auto" w:before="0" w:after="0"/>
        <w:ind w:left="840" w:right="1158" w:hanging="721"/>
        <w:jc w:val="both"/>
        <w:rPr>
          <w:sz w:val="20"/>
        </w:rPr>
      </w:pPr>
      <w:r>
        <w:rPr>
          <w:sz w:val="20"/>
        </w:rPr>
        <w:t>I</w:t>
      </w:r>
      <w:r>
        <w:rPr>
          <w:spacing w:val="-8"/>
          <w:sz w:val="20"/>
        </w:rPr>
        <w:t> </w:t>
      </w:r>
      <w:r>
        <w:rPr>
          <w:sz w:val="20"/>
        </w:rPr>
        <w:t>verily</w:t>
      </w:r>
      <w:r>
        <w:rPr>
          <w:spacing w:val="-7"/>
          <w:sz w:val="20"/>
        </w:rPr>
        <w:t> </w:t>
      </w:r>
      <w:r>
        <w:rPr>
          <w:sz w:val="20"/>
        </w:rPr>
        <w:t>believe</w:t>
      </w:r>
      <w:r>
        <w:rPr>
          <w:spacing w:val="-6"/>
          <w:sz w:val="20"/>
        </w:rPr>
        <w:t> </w:t>
      </w:r>
      <w:r>
        <w:rPr>
          <w:sz w:val="20"/>
        </w:rPr>
        <w:t>that</w:t>
      </w:r>
      <w:r>
        <w:rPr>
          <w:spacing w:val="-8"/>
          <w:sz w:val="20"/>
        </w:rPr>
        <w:t> </w:t>
      </w:r>
      <w:r>
        <w:rPr>
          <w:sz w:val="20"/>
        </w:rPr>
        <w:t>if</w:t>
      </w:r>
      <w:r>
        <w:rPr>
          <w:spacing w:val="-7"/>
          <w:sz w:val="20"/>
        </w:rPr>
        <w:t> </w:t>
      </w:r>
      <w:r>
        <w:rPr>
          <w:sz w:val="20"/>
        </w:rPr>
        <w:t>GSFC</w:t>
      </w:r>
      <w:r>
        <w:rPr>
          <w:spacing w:val="-7"/>
          <w:sz w:val="20"/>
        </w:rPr>
        <w:t> </w:t>
      </w:r>
      <w:r>
        <w:rPr>
          <w:sz w:val="20"/>
        </w:rPr>
        <w:t>had</w:t>
      </w:r>
      <w:r>
        <w:rPr>
          <w:spacing w:val="-6"/>
          <w:sz w:val="20"/>
        </w:rPr>
        <w:t> </w:t>
      </w:r>
      <w:r>
        <w:rPr>
          <w:sz w:val="20"/>
        </w:rPr>
        <w:t>intended</w:t>
      </w:r>
      <w:r>
        <w:rPr>
          <w:spacing w:val="-7"/>
          <w:sz w:val="20"/>
        </w:rPr>
        <w:t> </w:t>
      </w:r>
      <w:r>
        <w:rPr>
          <w:sz w:val="20"/>
        </w:rPr>
        <w:t>to</w:t>
      </w:r>
      <w:r>
        <w:rPr>
          <w:spacing w:val="-7"/>
          <w:sz w:val="20"/>
        </w:rPr>
        <w:t> </w:t>
      </w:r>
      <w:r>
        <w:rPr>
          <w:sz w:val="20"/>
        </w:rPr>
        <w:t>comply</w:t>
      </w:r>
      <w:r>
        <w:rPr>
          <w:spacing w:val="-7"/>
          <w:sz w:val="20"/>
        </w:rPr>
        <w:t> </w:t>
      </w:r>
      <w:r>
        <w:rPr>
          <w:sz w:val="20"/>
        </w:rPr>
        <w:t>with</w:t>
      </w:r>
      <w:r>
        <w:rPr>
          <w:spacing w:val="-7"/>
          <w:sz w:val="20"/>
        </w:rPr>
        <w:t> </w:t>
      </w:r>
      <w:r>
        <w:rPr>
          <w:sz w:val="20"/>
        </w:rPr>
        <w:t>the</w:t>
      </w:r>
      <w:r>
        <w:rPr>
          <w:spacing w:val="-7"/>
          <w:sz w:val="20"/>
        </w:rPr>
        <w:t> </w:t>
      </w:r>
      <w:r>
        <w:rPr>
          <w:sz w:val="20"/>
        </w:rPr>
        <w:t>GSFC</w:t>
      </w:r>
      <w:r>
        <w:rPr>
          <w:spacing w:val="-7"/>
          <w:sz w:val="20"/>
        </w:rPr>
        <w:t> </w:t>
      </w:r>
      <w:r>
        <w:rPr>
          <w:sz w:val="20"/>
        </w:rPr>
        <w:t>Nomination</w:t>
      </w:r>
      <w:r>
        <w:rPr>
          <w:spacing w:val="-8"/>
          <w:sz w:val="20"/>
        </w:rPr>
        <w:t> </w:t>
      </w:r>
      <w:r>
        <w:rPr>
          <w:sz w:val="20"/>
        </w:rPr>
        <w:t>Right,</w:t>
      </w:r>
      <w:r>
        <w:rPr>
          <w:spacing w:val="-8"/>
          <w:sz w:val="20"/>
        </w:rPr>
        <w:t> </w:t>
      </w:r>
      <w:r>
        <w:rPr>
          <w:sz w:val="20"/>
        </w:rPr>
        <w:t>then</w:t>
      </w:r>
      <w:r>
        <w:rPr>
          <w:spacing w:val="-6"/>
          <w:sz w:val="20"/>
        </w:rPr>
        <w:t> </w:t>
      </w:r>
      <w:r>
        <w:rPr>
          <w:sz w:val="20"/>
        </w:rPr>
        <w:t>it</w:t>
      </w:r>
      <w:r>
        <w:rPr>
          <w:spacing w:val="-9"/>
          <w:sz w:val="20"/>
        </w:rPr>
        <w:t> </w:t>
      </w:r>
      <w:r>
        <w:rPr>
          <w:sz w:val="20"/>
        </w:rPr>
        <w:t>would have:</w:t>
      </w:r>
    </w:p>
    <w:p>
      <w:pPr>
        <w:pStyle w:val="BodyText"/>
        <w:spacing w:before="11"/>
      </w:pPr>
    </w:p>
    <w:p>
      <w:pPr>
        <w:pStyle w:val="ListParagraph"/>
        <w:numPr>
          <w:ilvl w:val="1"/>
          <w:numId w:val="1"/>
        </w:numPr>
        <w:tabs>
          <w:tab w:pos="1559" w:val="left" w:leader="none"/>
          <w:tab w:pos="1561" w:val="left" w:leader="none"/>
        </w:tabs>
        <w:spacing w:line="240" w:lineRule="auto" w:before="0" w:after="0"/>
        <w:ind w:left="1560" w:right="0" w:hanging="721"/>
        <w:jc w:val="left"/>
        <w:rPr>
          <w:rFonts w:ascii="Symbol" w:hAnsi="Symbol"/>
          <w:sz w:val="20"/>
        </w:rPr>
      </w:pPr>
      <w:r>
        <w:rPr>
          <w:sz w:val="20"/>
        </w:rPr>
        <w:t>filled the three (3) vacancies created on the KRN Board in January</w:t>
      </w:r>
      <w:r>
        <w:rPr>
          <w:spacing w:val="-15"/>
          <w:sz w:val="20"/>
        </w:rPr>
        <w:t> </w:t>
      </w:r>
      <w:r>
        <w:rPr>
          <w:sz w:val="20"/>
        </w:rPr>
        <w:t>2019;</w:t>
      </w:r>
    </w:p>
    <w:p>
      <w:pPr>
        <w:pStyle w:val="BodyText"/>
        <w:spacing w:before="9"/>
        <w:rPr>
          <w:sz w:val="30"/>
        </w:rPr>
      </w:pPr>
    </w:p>
    <w:p>
      <w:pPr>
        <w:pStyle w:val="ListParagraph"/>
        <w:numPr>
          <w:ilvl w:val="1"/>
          <w:numId w:val="1"/>
        </w:numPr>
        <w:tabs>
          <w:tab w:pos="1559" w:val="left" w:leader="none"/>
          <w:tab w:pos="1561" w:val="left" w:leader="none"/>
        </w:tabs>
        <w:spacing w:line="350" w:lineRule="auto" w:before="0" w:after="0"/>
        <w:ind w:left="1560" w:right="1156" w:hanging="721"/>
        <w:jc w:val="left"/>
        <w:rPr>
          <w:rFonts w:ascii="Symbol" w:hAnsi="Symbol"/>
          <w:sz w:val="20"/>
        </w:rPr>
      </w:pPr>
      <w:r>
        <w:rPr>
          <w:sz w:val="20"/>
        </w:rPr>
        <w:t>not rejected all four (4) of the qualified, independent candidates Rowan identified and proposed to</w:t>
      </w:r>
      <w:r>
        <w:rPr>
          <w:spacing w:val="-3"/>
          <w:sz w:val="20"/>
        </w:rPr>
        <w:t> </w:t>
      </w:r>
      <w:r>
        <w:rPr>
          <w:sz w:val="20"/>
        </w:rPr>
        <w:t>Varma;</w:t>
      </w:r>
    </w:p>
    <w:p>
      <w:pPr>
        <w:pStyle w:val="BodyText"/>
        <w:spacing w:before="8"/>
        <w:rPr>
          <w:sz w:val="21"/>
        </w:rPr>
      </w:pPr>
    </w:p>
    <w:p>
      <w:pPr>
        <w:pStyle w:val="ListParagraph"/>
        <w:numPr>
          <w:ilvl w:val="1"/>
          <w:numId w:val="1"/>
        </w:numPr>
        <w:tabs>
          <w:tab w:pos="1559" w:val="left" w:leader="none"/>
          <w:tab w:pos="1561" w:val="left" w:leader="none"/>
        </w:tabs>
        <w:spacing w:line="240" w:lineRule="auto" w:before="0" w:after="0"/>
        <w:ind w:left="1560" w:right="0" w:hanging="721"/>
        <w:jc w:val="left"/>
        <w:rPr>
          <w:rFonts w:ascii="Symbol" w:hAnsi="Symbol"/>
          <w:sz w:val="20"/>
        </w:rPr>
      </w:pPr>
      <w:r>
        <w:rPr>
          <w:sz w:val="20"/>
        </w:rPr>
        <w:t>put a slate of at least six (6) directors up for election at the 2019</w:t>
      </w:r>
      <w:r>
        <w:rPr>
          <w:spacing w:val="-15"/>
          <w:sz w:val="20"/>
        </w:rPr>
        <w:t> </w:t>
      </w:r>
      <w:r>
        <w:rPr>
          <w:sz w:val="20"/>
        </w:rPr>
        <w:t>AGM;</w:t>
      </w:r>
    </w:p>
    <w:p>
      <w:pPr>
        <w:pStyle w:val="BodyText"/>
        <w:spacing w:before="9"/>
        <w:rPr>
          <w:sz w:val="30"/>
        </w:rPr>
      </w:pPr>
    </w:p>
    <w:p>
      <w:pPr>
        <w:pStyle w:val="ListParagraph"/>
        <w:numPr>
          <w:ilvl w:val="1"/>
          <w:numId w:val="1"/>
        </w:numPr>
        <w:tabs>
          <w:tab w:pos="1559" w:val="left" w:leader="none"/>
          <w:tab w:pos="1561" w:val="left" w:leader="none"/>
        </w:tabs>
        <w:spacing w:line="240" w:lineRule="auto" w:before="0" w:after="0"/>
        <w:ind w:left="1560" w:right="0" w:hanging="721"/>
        <w:jc w:val="left"/>
        <w:rPr>
          <w:rFonts w:ascii="Symbol" w:hAnsi="Symbol"/>
          <w:sz w:val="20"/>
        </w:rPr>
      </w:pPr>
      <w:r>
        <w:rPr>
          <w:sz w:val="20"/>
        </w:rPr>
        <w:t>put a slate of at least six (6) directors up for election at the 2020 AGM;</w:t>
      </w:r>
      <w:r>
        <w:rPr>
          <w:spacing w:val="-17"/>
          <w:sz w:val="20"/>
        </w:rPr>
        <w:t> </w:t>
      </w:r>
      <w:r>
        <w:rPr>
          <w:sz w:val="20"/>
        </w:rPr>
        <w:t>and</w:t>
      </w:r>
    </w:p>
    <w:p>
      <w:pPr>
        <w:pStyle w:val="BodyText"/>
        <w:spacing w:before="8"/>
        <w:rPr>
          <w:sz w:val="30"/>
        </w:rPr>
      </w:pPr>
    </w:p>
    <w:p>
      <w:pPr>
        <w:pStyle w:val="ListParagraph"/>
        <w:numPr>
          <w:ilvl w:val="1"/>
          <w:numId w:val="1"/>
        </w:numPr>
        <w:tabs>
          <w:tab w:pos="1560" w:val="left" w:leader="none"/>
          <w:tab w:pos="1561" w:val="left" w:leader="none"/>
        </w:tabs>
        <w:spacing w:line="240" w:lineRule="auto" w:before="1" w:after="0"/>
        <w:ind w:left="1560" w:right="0" w:hanging="721"/>
        <w:jc w:val="left"/>
        <w:rPr>
          <w:rFonts w:ascii="Symbol" w:hAnsi="Symbol"/>
          <w:sz w:val="20"/>
        </w:rPr>
      </w:pPr>
      <w:r>
        <w:rPr>
          <w:sz w:val="20"/>
        </w:rPr>
        <w:t>not voted against the reconstitution of the KRN Board at the Special</w:t>
      </w:r>
      <w:r>
        <w:rPr>
          <w:spacing w:val="-16"/>
          <w:sz w:val="20"/>
        </w:rPr>
        <w:t> </w:t>
      </w:r>
      <w:r>
        <w:rPr>
          <w:sz w:val="20"/>
        </w:rPr>
        <w:t>Meeting.</w:t>
      </w:r>
    </w:p>
    <w:p>
      <w:pPr>
        <w:pStyle w:val="BodyText"/>
        <w:spacing w:before="6"/>
        <w:rPr>
          <w:sz w:val="30"/>
        </w:rPr>
      </w:pPr>
    </w:p>
    <w:p>
      <w:pPr>
        <w:pStyle w:val="ListParagraph"/>
        <w:numPr>
          <w:ilvl w:val="0"/>
          <w:numId w:val="1"/>
        </w:numPr>
        <w:tabs>
          <w:tab w:pos="841" w:val="left" w:leader="none"/>
        </w:tabs>
        <w:spacing w:line="360" w:lineRule="auto" w:before="0" w:after="0"/>
        <w:ind w:left="840" w:right="1157" w:hanging="721"/>
        <w:jc w:val="both"/>
        <w:rPr>
          <w:sz w:val="20"/>
        </w:rPr>
      </w:pPr>
      <w:r>
        <w:rPr>
          <w:sz w:val="20"/>
        </w:rPr>
        <w:t>In August 2019, shortly after Anjaria was appointed to the KRN Board, Rowan and I had a conversation with him to discuss the composition of the KRN Board, the need for the size of the KRN Board to increase to six (6) directors, and the need to appoint four (4) independent directors in order for the KRN Board to have a majority of independent directors, and to have a fully independent audit committee and nominating</w:t>
      </w:r>
      <w:r>
        <w:rPr>
          <w:spacing w:val="-7"/>
          <w:sz w:val="20"/>
        </w:rPr>
        <w:t> </w:t>
      </w:r>
      <w:r>
        <w:rPr>
          <w:sz w:val="20"/>
        </w:rPr>
        <w:t>committee.</w:t>
      </w:r>
    </w:p>
    <w:p>
      <w:pPr>
        <w:pStyle w:val="BodyText"/>
        <w:rPr>
          <w:sz w:val="21"/>
        </w:rPr>
      </w:pPr>
    </w:p>
    <w:p>
      <w:pPr>
        <w:pStyle w:val="ListParagraph"/>
        <w:numPr>
          <w:ilvl w:val="0"/>
          <w:numId w:val="1"/>
        </w:numPr>
        <w:tabs>
          <w:tab w:pos="841" w:val="left" w:leader="none"/>
        </w:tabs>
        <w:spacing w:line="360" w:lineRule="auto" w:before="0" w:after="0"/>
        <w:ind w:left="840" w:right="1156" w:hanging="721"/>
        <w:jc w:val="both"/>
        <w:rPr>
          <w:sz w:val="20"/>
        </w:rPr>
      </w:pPr>
      <w:r>
        <w:rPr>
          <w:sz w:val="20"/>
        </w:rPr>
        <w:t>Anjaria insisted to Rowan and me that he was independent, and that he was not a nominee of GSFC, and concluded that no changes were required to the KRN Board, and stated words to the effect</w:t>
      </w:r>
      <w:r>
        <w:rPr>
          <w:spacing w:val="-7"/>
          <w:sz w:val="20"/>
        </w:rPr>
        <w:t> </w:t>
      </w:r>
      <w:r>
        <w:rPr>
          <w:sz w:val="20"/>
        </w:rPr>
        <w:t>“</w:t>
      </w:r>
      <w:r>
        <w:rPr>
          <w:i/>
          <w:sz w:val="20"/>
        </w:rPr>
        <w:t>we</w:t>
      </w:r>
      <w:r>
        <w:rPr>
          <w:i/>
          <w:spacing w:val="-6"/>
          <w:sz w:val="20"/>
        </w:rPr>
        <w:t> </w:t>
      </w:r>
      <w:r>
        <w:rPr>
          <w:i/>
          <w:sz w:val="20"/>
        </w:rPr>
        <w:t>need</w:t>
      </w:r>
      <w:r>
        <w:rPr>
          <w:i/>
          <w:spacing w:val="-5"/>
          <w:sz w:val="20"/>
        </w:rPr>
        <w:t> </w:t>
      </w:r>
      <w:r>
        <w:rPr>
          <w:i/>
          <w:sz w:val="20"/>
        </w:rPr>
        <w:t>to</w:t>
      </w:r>
      <w:r>
        <w:rPr>
          <w:i/>
          <w:spacing w:val="-6"/>
          <w:sz w:val="20"/>
        </w:rPr>
        <w:t> </w:t>
      </w:r>
      <w:r>
        <w:rPr>
          <w:i/>
          <w:sz w:val="20"/>
        </w:rPr>
        <w:t>keep</w:t>
      </w:r>
      <w:r>
        <w:rPr>
          <w:i/>
          <w:spacing w:val="-5"/>
          <w:sz w:val="20"/>
        </w:rPr>
        <w:t> </w:t>
      </w:r>
      <w:r>
        <w:rPr>
          <w:i/>
          <w:sz w:val="20"/>
        </w:rPr>
        <w:t>a</w:t>
      </w:r>
      <w:r>
        <w:rPr>
          <w:i/>
          <w:spacing w:val="-5"/>
          <w:sz w:val="20"/>
        </w:rPr>
        <w:t> </w:t>
      </w:r>
      <w:r>
        <w:rPr>
          <w:i/>
          <w:sz w:val="20"/>
        </w:rPr>
        <w:t>small</w:t>
      </w:r>
      <w:r>
        <w:rPr>
          <w:i/>
          <w:spacing w:val="-6"/>
          <w:sz w:val="20"/>
        </w:rPr>
        <w:t> </w:t>
      </w:r>
      <w:r>
        <w:rPr>
          <w:i/>
          <w:sz w:val="20"/>
        </w:rPr>
        <w:t>board</w:t>
      </w:r>
      <w:r>
        <w:rPr>
          <w:i/>
          <w:spacing w:val="-6"/>
          <w:sz w:val="20"/>
        </w:rPr>
        <w:t> </w:t>
      </w:r>
      <w:r>
        <w:rPr>
          <w:i/>
          <w:sz w:val="20"/>
        </w:rPr>
        <w:t>at</w:t>
      </w:r>
      <w:r>
        <w:rPr>
          <w:i/>
          <w:spacing w:val="-6"/>
          <w:sz w:val="20"/>
        </w:rPr>
        <w:t> </w:t>
      </w:r>
      <w:r>
        <w:rPr>
          <w:i/>
          <w:sz w:val="20"/>
        </w:rPr>
        <w:t>this</w:t>
      </w:r>
      <w:r>
        <w:rPr>
          <w:i/>
          <w:spacing w:val="-6"/>
          <w:sz w:val="20"/>
        </w:rPr>
        <w:t> </w:t>
      </w:r>
      <w:r>
        <w:rPr>
          <w:i/>
          <w:sz w:val="20"/>
        </w:rPr>
        <w:t>stage</w:t>
      </w:r>
      <w:r>
        <w:rPr>
          <w:i/>
          <w:spacing w:val="-5"/>
          <w:sz w:val="20"/>
        </w:rPr>
        <w:t> </w:t>
      </w:r>
      <w:r>
        <w:rPr>
          <w:i/>
          <w:sz w:val="20"/>
        </w:rPr>
        <w:t>of</w:t>
      </w:r>
      <w:r>
        <w:rPr>
          <w:i/>
          <w:spacing w:val="-6"/>
          <w:sz w:val="20"/>
        </w:rPr>
        <w:t> </w:t>
      </w:r>
      <w:r>
        <w:rPr>
          <w:i/>
          <w:sz w:val="20"/>
        </w:rPr>
        <w:t>development,</w:t>
      </w:r>
      <w:r>
        <w:rPr>
          <w:i/>
          <w:spacing w:val="-6"/>
          <w:sz w:val="20"/>
        </w:rPr>
        <w:t> </w:t>
      </w:r>
      <w:r>
        <w:rPr>
          <w:i/>
          <w:sz w:val="20"/>
        </w:rPr>
        <w:t>and</w:t>
      </w:r>
      <w:r>
        <w:rPr>
          <w:i/>
          <w:spacing w:val="-6"/>
          <w:sz w:val="20"/>
        </w:rPr>
        <w:t> </w:t>
      </w:r>
      <w:r>
        <w:rPr>
          <w:i/>
          <w:sz w:val="20"/>
        </w:rPr>
        <w:t>the</w:t>
      </w:r>
      <w:r>
        <w:rPr>
          <w:i/>
          <w:spacing w:val="-5"/>
          <w:sz w:val="20"/>
        </w:rPr>
        <w:t> </w:t>
      </w:r>
      <w:r>
        <w:rPr>
          <w:i/>
          <w:sz w:val="20"/>
        </w:rPr>
        <w:t>current</w:t>
      </w:r>
      <w:r>
        <w:rPr>
          <w:i/>
          <w:spacing w:val="-7"/>
          <w:sz w:val="20"/>
        </w:rPr>
        <w:t> </w:t>
      </w:r>
      <w:r>
        <w:rPr>
          <w:i/>
          <w:sz w:val="20"/>
        </w:rPr>
        <w:t>board</w:t>
      </w:r>
      <w:r>
        <w:rPr>
          <w:i/>
          <w:spacing w:val="-6"/>
          <w:sz w:val="20"/>
        </w:rPr>
        <w:t> </w:t>
      </w:r>
      <w:r>
        <w:rPr>
          <w:i/>
          <w:sz w:val="20"/>
        </w:rPr>
        <w:t>size</w:t>
      </w:r>
      <w:r>
        <w:rPr>
          <w:i/>
          <w:spacing w:val="-6"/>
          <w:sz w:val="20"/>
        </w:rPr>
        <w:t> </w:t>
      </w:r>
      <w:r>
        <w:rPr>
          <w:i/>
          <w:sz w:val="20"/>
        </w:rPr>
        <w:t>and </w:t>
      </w:r>
      <w:r>
        <w:rPr>
          <w:i/>
          <w:sz w:val="20"/>
        </w:rPr>
        <w:t>composition is just</w:t>
      </w:r>
      <w:r>
        <w:rPr>
          <w:i/>
          <w:spacing w:val="-2"/>
          <w:sz w:val="20"/>
        </w:rPr>
        <w:t> </w:t>
      </w:r>
      <w:r>
        <w:rPr>
          <w:i/>
          <w:sz w:val="20"/>
        </w:rPr>
        <w:t>fine</w:t>
      </w:r>
      <w:r>
        <w:rPr>
          <w:sz w:val="20"/>
        </w:rPr>
        <w:t>.”</w:t>
      </w:r>
    </w:p>
    <w:p>
      <w:pPr>
        <w:pStyle w:val="BodyText"/>
        <w:spacing w:before="10"/>
      </w:pPr>
    </w:p>
    <w:p>
      <w:pPr>
        <w:pStyle w:val="ListParagraph"/>
        <w:numPr>
          <w:ilvl w:val="0"/>
          <w:numId w:val="1"/>
        </w:numPr>
        <w:tabs>
          <w:tab w:pos="840" w:val="left" w:leader="none"/>
        </w:tabs>
        <w:spacing w:line="360" w:lineRule="auto" w:before="0" w:after="0"/>
        <w:ind w:left="839" w:right="1155" w:hanging="721"/>
        <w:jc w:val="both"/>
        <w:rPr>
          <w:sz w:val="20"/>
        </w:rPr>
      </w:pPr>
      <w:r>
        <w:rPr>
          <w:sz w:val="20"/>
        </w:rPr>
        <w:t>I know Anjaria had a conversation with counsel to KRN, but I was not advised as to the nature of the conversation. Given no changes were made in the KRN Board, I verily believe that counsel to KRN must have advised Anjaria that the KRN Board was in compliance with Securities Laws and TSX</w:t>
      </w:r>
      <w:r>
        <w:rPr>
          <w:spacing w:val="-1"/>
          <w:sz w:val="20"/>
        </w:rPr>
        <w:t> </w:t>
      </w:r>
      <w:r>
        <w:rPr>
          <w:sz w:val="20"/>
        </w:rPr>
        <w:t>Rules.</w:t>
      </w:r>
    </w:p>
    <w:p>
      <w:pPr>
        <w:pStyle w:val="BodyText"/>
        <w:spacing w:before="10"/>
      </w:pPr>
    </w:p>
    <w:p>
      <w:pPr>
        <w:pStyle w:val="ListParagraph"/>
        <w:numPr>
          <w:ilvl w:val="0"/>
          <w:numId w:val="1"/>
        </w:numPr>
        <w:tabs>
          <w:tab w:pos="840" w:val="left" w:leader="none"/>
        </w:tabs>
        <w:spacing w:line="360" w:lineRule="auto" w:before="1" w:after="0"/>
        <w:ind w:left="839" w:right="1158" w:hanging="720"/>
        <w:jc w:val="both"/>
        <w:rPr>
          <w:sz w:val="20"/>
        </w:rPr>
      </w:pPr>
      <w:r>
        <w:rPr>
          <w:sz w:val="20"/>
        </w:rPr>
        <w:t>I verily believe that once Anjaria was on the KRN Board, he actively worked with both Varma and Nanavaty to keep control of KRN and the KRN</w:t>
      </w:r>
      <w:r>
        <w:rPr>
          <w:spacing w:val="-10"/>
          <w:sz w:val="20"/>
        </w:rPr>
        <w:t> </w:t>
      </w:r>
      <w:r>
        <w:rPr>
          <w:sz w:val="20"/>
        </w:rPr>
        <w:t>Board.</w:t>
      </w:r>
    </w:p>
    <w:p>
      <w:pPr>
        <w:pStyle w:val="BodyText"/>
        <w:spacing w:before="7"/>
      </w:pPr>
    </w:p>
    <w:p>
      <w:pPr>
        <w:pStyle w:val="Heading1"/>
        <w:numPr>
          <w:ilvl w:val="0"/>
          <w:numId w:val="5"/>
        </w:numPr>
        <w:tabs>
          <w:tab w:pos="839" w:val="left" w:leader="none"/>
          <w:tab w:pos="841" w:val="left" w:leader="none"/>
        </w:tabs>
        <w:spacing w:line="240" w:lineRule="auto" w:before="1" w:after="0"/>
        <w:ind w:left="840" w:right="0" w:hanging="721"/>
        <w:jc w:val="left"/>
      </w:pPr>
      <w:r>
        <w:rPr>
          <w:u w:val="thick"/>
        </w:rPr>
        <w:t>2020</w:t>
      </w:r>
      <w:r>
        <w:rPr>
          <w:spacing w:val="-2"/>
          <w:u w:val="thick"/>
        </w:rPr>
        <w:t> </w:t>
      </w:r>
      <w:r>
        <w:rPr>
          <w:u w:val="thick"/>
        </w:rPr>
        <w:t>AGM</w:t>
      </w:r>
    </w:p>
    <w:p>
      <w:pPr>
        <w:spacing w:after="0" w:line="240" w:lineRule="auto"/>
        <w:jc w:val="left"/>
        <w:sectPr>
          <w:pgSz w:w="12240" w:h="15840"/>
          <w:pgMar w:header="0" w:footer="1259" w:top="1220" w:bottom="1440" w:left="1320" w:right="280"/>
        </w:sectPr>
      </w:pPr>
    </w:p>
    <w:p>
      <w:pPr>
        <w:pStyle w:val="ListParagraph"/>
        <w:numPr>
          <w:ilvl w:val="0"/>
          <w:numId w:val="1"/>
        </w:numPr>
        <w:tabs>
          <w:tab w:pos="841" w:val="left" w:leader="none"/>
        </w:tabs>
        <w:spacing w:line="360" w:lineRule="auto" w:before="75" w:after="0"/>
        <w:ind w:left="840" w:right="1157" w:hanging="721"/>
        <w:jc w:val="both"/>
        <w:rPr>
          <w:sz w:val="20"/>
        </w:rPr>
      </w:pPr>
      <w:r>
        <w:rPr>
          <w:sz w:val="20"/>
        </w:rPr>
        <w:t>Varma</w:t>
      </w:r>
      <w:r>
        <w:rPr>
          <w:spacing w:val="-12"/>
          <w:sz w:val="20"/>
        </w:rPr>
        <w:t> </w:t>
      </w:r>
      <w:r>
        <w:rPr>
          <w:sz w:val="20"/>
        </w:rPr>
        <w:t>resigned</w:t>
      </w:r>
      <w:r>
        <w:rPr>
          <w:spacing w:val="-11"/>
          <w:sz w:val="20"/>
        </w:rPr>
        <w:t> </w:t>
      </w:r>
      <w:r>
        <w:rPr>
          <w:sz w:val="20"/>
        </w:rPr>
        <w:t>as</w:t>
      </w:r>
      <w:r>
        <w:rPr>
          <w:spacing w:val="-10"/>
          <w:sz w:val="20"/>
        </w:rPr>
        <w:t> </w:t>
      </w:r>
      <w:r>
        <w:rPr>
          <w:sz w:val="20"/>
        </w:rPr>
        <w:t>a</w:t>
      </w:r>
      <w:r>
        <w:rPr>
          <w:spacing w:val="-12"/>
          <w:sz w:val="20"/>
        </w:rPr>
        <w:t> </w:t>
      </w:r>
      <w:r>
        <w:rPr>
          <w:sz w:val="20"/>
        </w:rPr>
        <w:t>director</w:t>
      </w:r>
      <w:r>
        <w:rPr>
          <w:spacing w:val="-10"/>
          <w:sz w:val="20"/>
        </w:rPr>
        <w:t> </w:t>
      </w:r>
      <w:r>
        <w:rPr>
          <w:sz w:val="20"/>
        </w:rPr>
        <w:t>of</w:t>
      </w:r>
      <w:r>
        <w:rPr>
          <w:spacing w:val="-12"/>
          <w:sz w:val="20"/>
        </w:rPr>
        <w:t> </w:t>
      </w:r>
      <w:r>
        <w:rPr>
          <w:sz w:val="20"/>
        </w:rPr>
        <w:t>KRN</w:t>
      </w:r>
      <w:r>
        <w:rPr>
          <w:spacing w:val="-12"/>
          <w:sz w:val="20"/>
        </w:rPr>
        <w:t> </w:t>
      </w:r>
      <w:r>
        <w:rPr>
          <w:sz w:val="20"/>
        </w:rPr>
        <w:t>on</w:t>
      </w:r>
      <w:r>
        <w:rPr>
          <w:spacing w:val="-11"/>
          <w:sz w:val="20"/>
        </w:rPr>
        <w:t> </w:t>
      </w:r>
      <w:r>
        <w:rPr>
          <w:sz w:val="20"/>
        </w:rPr>
        <w:t>May</w:t>
      </w:r>
      <w:r>
        <w:rPr>
          <w:spacing w:val="-12"/>
          <w:sz w:val="20"/>
        </w:rPr>
        <w:t> </w:t>
      </w:r>
      <w:r>
        <w:rPr>
          <w:sz w:val="20"/>
        </w:rPr>
        <w:t>13,</w:t>
      </w:r>
      <w:r>
        <w:rPr>
          <w:spacing w:val="-11"/>
          <w:sz w:val="20"/>
        </w:rPr>
        <w:t> </w:t>
      </w:r>
      <w:r>
        <w:rPr>
          <w:sz w:val="20"/>
        </w:rPr>
        <w:t>2020,</w:t>
      </w:r>
      <w:r>
        <w:rPr>
          <w:spacing w:val="-12"/>
          <w:sz w:val="20"/>
        </w:rPr>
        <w:t> </w:t>
      </w:r>
      <w:r>
        <w:rPr>
          <w:sz w:val="20"/>
        </w:rPr>
        <w:t>approximately</w:t>
      </w:r>
      <w:r>
        <w:rPr>
          <w:spacing w:val="-10"/>
          <w:sz w:val="20"/>
        </w:rPr>
        <w:t> </w:t>
      </w:r>
      <w:r>
        <w:rPr>
          <w:sz w:val="20"/>
        </w:rPr>
        <w:t>one</w:t>
      </w:r>
      <w:r>
        <w:rPr>
          <w:spacing w:val="-11"/>
          <w:sz w:val="20"/>
        </w:rPr>
        <w:t> </w:t>
      </w:r>
      <w:r>
        <w:rPr>
          <w:sz w:val="20"/>
        </w:rPr>
        <w:t>month</w:t>
      </w:r>
      <w:r>
        <w:rPr>
          <w:spacing w:val="-11"/>
          <w:sz w:val="20"/>
        </w:rPr>
        <w:t> </w:t>
      </w:r>
      <w:r>
        <w:rPr>
          <w:sz w:val="20"/>
        </w:rPr>
        <w:t>before</w:t>
      </w:r>
      <w:r>
        <w:rPr>
          <w:spacing w:val="-12"/>
          <w:sz w:val="20"/>
        </w:rPr>
        <w:t> </w:t>
      </w:r>
      <w:r>
        <w:rPr>
          <w:sz w:val="20"/>
        </w:rPr>
        <w:t>the</w:t>
      </w:r>
      <w:r>
        <w:rPr>
          <w:spacing w:val="-11"/>
          <w:sz w:val="20"/>
        </w:rPr>
        <w:t> </w:t>
      </w:r>
      <w:r>
        <w:rPr>
          <w:sz w:val="20"/>
        </w:rPr>
        <w:t>annual general meeting of shareholders held on June 26, 2020 (the “</w:t>
      </w:r>
      <w:r>
        <w:rPr>
          <w:b/>
          <w:sz w:val="20"/>
        </w:rPr>
        <w:t>2020 AGM</w:t>
      </w:r>
      <w:r>
        <w:rPr>
          <w:sz w:val="20"/>
        </w:rPr>
        <w:t>”). Attached and marked as </w:t>
      </w:r>
      <w:r>
        <w:rPr>
          <w:b/>
          <w:sz w:val="20"/>
        </w:rPr>
        <w:t>Exhibit “R” </w:t>
      </w:r>
      <w:r>
        <w:rPr>
          <w:sz w:val="20"/>
        </w:rPr>
        <w:t>to the FDW Affidavit is a copy of the KRN press release of May 14,</w:t>
      </w:r>
      <w:r>
        <w:rPr>
          <w:spacing w:val="-21"/>
          <w:sz w:val="20"/>
        </w:rPr>
        <w:t> </w:t>
      </w:r>
      <w:r>
        <w:rPr>
          <w:sz w:val="20"/>
        </w:rPr>
        <w:t>2020.</w:t>
      </w:r>
    </w:p>
    <w:p>
      <w:pPr>
        <w:pStyle w:val="BodyText"/>
        <w:spacing w:before="10"/>
      </w:pPr>
    </w:p>
    <w:p>
      <w:pPr>
        <w:pStyle w:val="ListParagraph"/>
        <w:numPr>
          <w:ilvl w:val="0"/>
          <w:numId w:val="1"/>
        </w:numPr>
        <w:tabs>
          <w:tab w:pos="840" w:val="left" w:leader="none"/>
        </w:tabs>
        <w:spacing w:line="360" w:lineRule="auto" w:before="0" w:after="0"/>
        <w:ind w:left="839" w:right="1156" w:hanging="720"/>
        <w:jc w:val="both"/>
        <w:rPr>
          <w:sz w:val="20"/>
        </w:rPr>
      </w:pPr>
      <w:r>
        <w:rPr>
          <w:sz w:val="20"/>
        </w:rPr>
        <w:t>At</w:t>
      </w:r>
      <w:r>
        <w:rPr>
          <w:spacing w:val="-16"/>
          <w:sz w:val="20"/>
        </w:rPr>
        <w:t> </w:t>
      </w:r>
      <w:r>
        <w:rPr>
          <w:sz w:val="20"/>
        </w:rPr>
        <w:t>the</w:t>
      </w:r>
      <w:r>
        <w:rPr>
          <w:spacing w:val="-15"/>
          <w:sz w:val="20"/>
        </w:rPr>
        <w:t> </w:t>
      </w:r>
      <w:r>
        <w:rPr>
          <w:sz w:val="20"/>
        </w:rPr>
        <w:t>2020</w:t>
      </w:r>
      <w:r>
        <w:rPr>
          <w:spacing w:val="-16"/>
          <w:sz w:val="20"/>
        </w:rPr>
        <w:t> </w:t>
      </w:r>
      <w:r>
        <w:rPr>
          <w:sz w:val="20"/>
        </w:rPr>
        <w:t>AGM,</w:t>
      </w:r>
      <w:r>
        <w:rPr>
          <w:spacing w:val="-15"/>
          <w:sz w:val="20"/>
        </w:rPr>
        <w:t> </w:t>
      </w:r>
      <w:r>
        <w:rPr>
          <w:sz w:val="20"/>
        </w:rPr>
        <w:t>the</w:t>
      </w:r>
      <w:r>
        <w:rPr>
          <w:spacing w:val="-16"/>
          <w:sz w:val="20"/>
        </w:rPr>
        <w:t> </w:t>
      </w:r>
      <w:r>
        <w:rPr>
          <w:sz w:val="20"/>
        </w:rPr>
        <w:t>status</w:t>
      </w:r>
      <w:r>
        <w:rPr>
          <w:spacing w:val="-14"/>
          <w:sz w:val="20"/>
        </w:rPr>
        <w:t> </w:t>
      </w:r>
      <w:r>
        <w:rPr>
          <w:sz w:val="20"/>
        </w:rPr>
        <w:t>quo</w:t>
      </w:r>
      <w:r>
        <w:rPr>
          <w:spacing w:val="-17"/>
          <w:sz w:val="20"/>
        </w:rPr>
        <w:t> </w:t>
      </w:r>
      <w:r>
        <w:rPr>
          <w:sz w:val="20"/>
        </w:rPr>
        <w:t>was</w:t>
      </w:r>
      <w:r>
        <w:rPr>
          <w:spacing w:val="-14"/>
          <w:sz w:val="20"/>
        </w:rPr>
        <w:t> </w:t>
      </w:r>
      <w:r>
        <w:rPr>
          <w:sz w:val="20"/>
        </w:rPr>
        <w:t>maintained,</w:t>
      </w:r>
      <w:r>
        <w:rPr>
          <w:spacing w:val="-16"/>
          <w:sz w:val="20"/>
        </w:rPr>
        <w:t> </w:t>
      </w:r>
      <w:r>
        <w:rPr>
          <w:sz w:val="20"/>
        </w:rPr>
        <w:t>the</w:t>
      </w:r>
      <w:r>
        <w:rPr>
          <w:spacing w:val="-16"/>
          <w:sz w:val="20"/>
        </w:rPr>
        <w:t> </w:t>
      </w:r>
      <w:r>
        <w:rPr>
          <w:sz w:val="20"/>
        </w:rPr>
        <w:t>three</w:t>
      </w:r>
      <w:r>
        <w:rPr>
          <w:spacing w:val="-16"/>
          <w:sz w:val="20"/>
        </w:rPr>
        <w:t> </w:t>
      </w:r>
      <w:r>
        <w:rPr>
          <w:sz w:val="20"/>
        </w:rPr>
        <w:t>(3)</w:t>
      </w:r>
      <w:r>
        <w:rPr>
          <w:spacing w:val="-16"/>
          <w:sz w:val="20"/>
        </w:rPr>
        <w:t> </w:t>
      </w:r>
      <w:r>
        <w:rPr>
          <w:sz w:val="20"/>
        </w:rPr>
        <w:t>incumbent</w:t>
      </w:r>
      <w:r>
        <w:rPr>
          <w:spacing w:val="-15"/>
          <w:sz w:val="20"/>
        </w:rPr>
        <w:t> </w:t>
      </w:r>
      <w:r>
        <w:rPr>
          <w:sz w:val="20"/>
        </w:rPr>
        <w:t>directors</w:t>
      </w:r>
      <w:r>
        <w:rPr>
          <w:spacing w:val="-17"/>
          <w:sz w:val="20"/>
        </w:rPr>
        <w:t> </w:t>
      </w:r>
      <w:r>
        <w:rPr>
          <w:sz w:val="20"/>
        </w:rPr>
        <w:t>were</w:t>
      </w:r>
      <w:r>
        <w:rPr>
          <w:spacing w:val="-15"/>
          <w:sz w:val="20"/>
        </w:rPr>
        <w:t> </w:t>
      </w:r>
      <w:r>
        <w:rPr>
          <w:sz w:val="20"/>
        </w:rPr>
        <w:t>re-elected, and GSFC retained control of the KRN Board. Attached as </w:t>
      </w:r>
      <w:r>
        <w:rPr>
          <w:b/>
          <w:sz w:val="20"/>
        </w:rPr>
        <w:t>Exhibit “S” </w:t>
      </w:r>
      <w:r>
        <w:rPr>
          <w:sz w:val="20"/>
        </w:rPr>
        <w:t>to the FDW Affidavit is a copy of the voting results for the 2020</w:t>
      </w:r>
      <w:r>
        <w:rPr>
          <w:spacing w:val="-6"/>
          <w:sz w:val="20"/>
        </w:rPr>
        <w:t> </w:t>
      </w:r>
      <w:r>
        <w:rPr>
          <w:sz w:val="20"/>
        </w:rPr>
        <w:t>AGM.</w:t>
      </w:r>
    </w:p>
    <w:p>
      <w:pPr>
        <w:pStyle w:val="BodyText"/>
        <w:spacing w:before="10"/>
      </w:pPr>
    </w:p>
    <w:p>
      <w:pPr>
        <w:pStyle w:val="Heading1"/>
        <w:numPr>
          <w:ilvl w:val="0"/>
          <w:numId w:val="5"/>
        </w:numPr>
        <w:tabs>
          <w:tab w:pos="839" w:val="left" w:leader="none"/>
          <w:tab w:pos="841" w:val="left" w:leader="none"/>
        </w:tabs>
        <w:spacing w:line="240" w:lineRule="auto" w:before="1" w:after="0"/>
        <w:ind w:left="840" w:right="0" w:hanging="721"/>
        <w:jc w:val="left"/>
      </w:pPr>
      <w:r>
        <w:rPr>
          <w:u w:val="thick"/>
        </w:rPr>
        <w:t>Special</w:t>
      </w:r>
      <w:r>
        <w:rPr>
          <w:spacing w:val="-2"/>
          <w:u w:val="thick"/>
        </w:rPr>
        <w:t> </w:t>
      </w:r>
      <w:r>
        <w:rPr>
          <w:u w:val="thick"/>
        </w:rPr>
        <w:t>Meeting</w:t>
      </w:r>
    </w:p>
    <w:p>
      <w:pPr>
        <w:pStyle w:val="BodyText"/>
        <w:spacing w:before="7"/>
        <w:rPr>
          <w:b/>
          <w:sz w:val="22"/>
        </w:rPr>
      </w:pPr>
    </w:p>
    <w:p>
      <w:pPr>
        <w:pStyle w:val="ListParagraph"/>
        <w:numPr>
          <w:ilvl w:val="0"/>
          <w:numId w:val="1"/>
        </w:numPr>
        <w:tabs>
          <w:tab w:pos="841" w:val="left" w:leader="none"/>
        </w:tabs>
        <w:spacing w:line="360" w:lineRule="auto" w:before="94" w:after="0"/>
        <w:ind w:left="840" w:right="1157" w:hanging="721"/>
        <w:jc w:val="both"/>
        <w:rPr>
          <w:sz w:val="20"/>
        </w:rPr>
      </w:pPr>
      <w:r>
        <w:rPr>
          <w:sz w:val="20"/>
        </w:rPr>
        <w:t>At the special meeting of shareholders (the “</w:t>
      </w:r>
      <w:r>
        <w:rPr>
          <w:b/>
          <w:sz w:val="20"/>
        </w:rPr>
        <w:t>Special Meeting</w:t>
      </w:r>
      <w:r>
        <w:rPr>
          <w:sz w:val="20"/>
        </w:rPr>
        <w:t>”) held on December 15, 2020, the resolution to reconstitute the KRN Board was not approved. Attached as </w:t>
      </w:r>
      <w:r>
        <w:rPr>
          <w:b/>
          <w:sz w:val="20"/>
        </w:rPr>
        <w:t>Exhibit “T” </w:t>
      </w:r>
      <w:r>
        <w:rPr>
          <w:sz w:val="20"/>
        </w:rPr>
        <w:t>to the FDW Affidavit is a copy of the voting results for the Special</w:t>
      </w:r>
      <w:r>
        <w:rPr>
          <w:spacing w:val="-11"/>
          <w:sz w:val="20"/>
        </w:rPr>
        <w:t> </w:t>
      </w:r>
      <w:r>
        <w:rPr>
          <w:sz w:val="20"/>
        </w:rPr>
        <w:t>Meeting.</w:t>
      </w:r>
    </w:p>
    <w:p>
      <w:pPr>
        <w:pStyle w:val="BodyText"/>
        <w:spacing w:before="10"/>
      </w:pPr>
    </w:p>
    <w:p>
      <w:pPr>
        <w:pStyle w:val="ListParagraph"/>
        <w:numPr>
          <w:ilvl w:val="0"/>
          <w:numId w:val="6"/>
        </w:numPr>
        <w:tabs>
          <w:tab w:pos="839" w:val="left" w:leader="none"/>
          <w:tab w:pos="840" w:val="left" w:leader="none"/>
        </w:tabs>
        <w:spacing w:line="240" w:lineRule="auto" w:before="1" w:after="0"/>
        <w:ind w:left="839" w:right="0" w:hanging="720"/>
        <w:jc w:val="left"/>
        <w:rPr>
          <w:sz w:val="20"/>
        </w:rPr>
      </w:pPr>
      <w:r>
        <w:rPr>
          <w:sz w:val="20"/>
          <w:u w:val="single"/>
        </w:rPr>
        <w:t>Missed Opportunities to Comply with Securities Laws and TSX</w:t>
      </w:r>
      <w:r>
        <w:rPr>
          <w:spacing w:val="-10"/>
          <w:sz w:val="20"/>
          <w:u w:val="single"/>
        </w:rPr>
        <w:t> </w:t>
      </w:r>
      <w:r>
        <w:rPr>
          <w:sz w:val="20"/>
          <w:u w:val="single"/>
        </w:rPr>
        <w:t>Rules</w:t>
      </w:r>
    </w:p>
    <w:p>
      <w:pPr>
        <w:pStyle w:val="BodyText"/>
        <w:spacing w:before="7"/>
        <w:rPr>
          <w:sz w:val="22"/>
        </w:rPr>
      </w:pPr>
    </w:p>
    <w:p>
      <w:pPr>
        <w:pStyle w:val="ListParagraph"/>
        <w:numPr>
          <w:ilvl w:val="0"/>
          <w:numId w:val="1"/>
        </w:numPr>
        <w:tabs>
          <w:tab w:pos="841" w:val="left" w:leader="none"/>
        </w:tabs>
        <w:spacing w:line="360" w:lineRule="auto" w:before="94" w:after="0"/>
        <w:ind w:left="840" w:right="1157" w:hanging="721"/>
        <w:jc w:val="both"/>
        <w:rPr>
          <w:sz w:val="20"/>
        </w:rPr>
      </w:pPr>
      <w:r>
        <w:rPr>
          <w:sz w:val="20"/>
        </w:rPr>
        <w:t>I verily believe that Varma and the other GSFC Nominees had multiple opportunities to appoint independent</w:t>
      </w:r>
      <w:r>
        <w:rPr>
          <w:spacing w:val="-6"/>
          <w:sz w:val="20"/>
        </w:rPr>
        <w:t> </w:t>
      </w:r>
      <w:r>
        <w:rPr>
          <w:sz w:val="20"/>
        </w:rPr>
        <w:t>directors</w:t>
      </w:r>
      <w:r>
        <w:rPr>
          <w:spacing w:val="-4"/>
          <w:sz w:val="20"/>
        </w:rPr>
        <w:t> </w:t>
      </w:r>
      <w:r>
        <w:rPr>
          <w:sz w:val="20"/>
        </w:rPr>
        <w:t>to</w:t>
      </w:r>
      <w:r>
        <w:rPr>
          <w:spacing w:val="-4"/>
          <w:sz w:val="20"/>
        </w:rPr>
        <w:t> </w:t>
      </w:r>
      <w:r>
        <w:rPr>
          <w:sz w:val="20"/>
        </w:rPr>
        <w:t>the</w:t>
      </w:r>
      <w:r>
        <w:rPr>
          <w:spacing w:val="-4"/>
          <w:sz w:val="20"/>
        </w:rPr>
        <w:t> </w:t>
      </w:r>
      <w:r>
        <w:rPr>
          <w:sz w:val="20"/>
        </w:rPr>
        <w:t>KRN</w:t>
      </w:r>
      <w:r>
        <w:rPr>
          <w:spacing w:val="-5"/>
          <w:sz w:val="20"/>
        </w:rPr>
        <w:t> </w:t>
      </w:r>
      <w:r>
        <w:rPr>
          <w:sz w:val="20"/>
        </w:rPr>
        <w:t>Board,</w:t>
      </w:r>
      <w:r>
        <w:rPr>
          <w:spacing w:val="-5"/>
          <w:sz w:val="20"/>
        </w:rPr>
        <w:t> </w:t>
      </w:r>
      <w:r>
        <w:rPr>
          <w:sz w:val="20"/>
        </w:rPr>
        <w:t>but</w:t>
      </w:r>
      <w:r>
        <w:rPr>
          <w:spacing w:val="-5"/>
          <w:sz w:val="20"/>
        </w:rPr>
        <w:t> </w:t>
      </w:r>
      <w:r>
        <w:rPr>
          <w:sz w:val="20"/>
        </w:rPr>
        <w:t>consciously</w:t>
      </w:r>
      <w:r>
        <w:rPr>
          <w:spacing w:val="-4"/>
          <w:sz w:val="20"/>
        </w:rPr>
        <w:t> </w:t>
      </w:r>
      <w:r>
        <w:rPr>
          <w:sz w:val="20"/>
        </w:rPr>
        <w:t>chose</w:t>
      </w:r>
      <w:r>
        <w:rPr>
          <w:spacing w:val="-5"/>
          <w:sz w:val="20"/>
        </w:rPr>
        <w:t> </w:t>
      </w:r>
      <w:r>
        <w:rPr>
          <w:sz w:val="20"/>
        </w:rPr>
        <w:t>not</w:t>
      </w:r>
      <w:r>
        <w:rPr>
          <w:spacing w:val="-5"/>
          <w:sz w:val="20"/>
        </w:rPr>
        <w:t> </w:t>
      </w:r>
      <w:r>
        <w:rPr>
          <w:sz w:val="20"/>
        </w:rPr>
        <w:t>to</w:t>
      </w:r>
      <w:r>
        <w:rPr>
          <w:spacing w:val="-3"/>
          <w:sz w:val="20"/>
        </w:rPr>
        <w:t> </w:t>
      </w:r>
      <w:r>
        <w:rPr>
          <w:sz w:val="20"/>
        </w:rPr>
        <w:t>take</w:t>
      </w:r>
      <w:r>
        <w:rPr>
          <w:spacing w:val="-4"/>
          <w:sz w:val="20"/>
        </w:rPr>
        <w:t> </w:t>
      </w:r>
      <w:r>
        <w:rPr>
          <w:sz w:val="20"/>
        </w:rPr>
        <w:t>advantage</w:t>
      </w:r>
      <w:r>
        <w:rPr>
          <w:spacing w:val="-5"/>
          <w:sz w:val="20"/>
        </w:rPr>
        <w:t> </w:t>
      </w:r>
      <w:r>
        <w:rPr>
          <w:sz w:val="20"/>
        </w:rPr>
        <w:t>of</w:t>
      </w:r>
      <w:r>
        <w:rPr>
          <w:spacing w:val="-5"/>
          <w:sz w:val="20"/>
        </w:rPr>
        <w:t> </w:t>
      </w:r>
      <w:r>
        <w:rPr>
          <w:sz w:val="20"/>
        </w:rPr>
        <w:t>any</w:t>
      </w:r>
      <w:r>
        <w:rPr>
          <w:spacing w:val="-5"/>
          <w:sz w:val="20"/>
        </w:rPr>
        <w:t> </w:t>
      </w:r>
      <w:r>
        <w:rPr>
          <w:sz w:val="20"/>
        </w:rPr>
        <w:t>such opportunity. I verily believe that these opportunities</w:t>
      </w:r>
      <w:r>
        <w:rPr>
          <w:spacing w:val="-9"/>
          <w:sz w:val="20"/>
        </w:rPr>
        <w:t> </w:t>
      </w:r>
      <w:r>
        <w:rPr>
          <w:sz w:val="20"/>
        </w:rPr>
        <w:t>included:</w:t>
      </w:r>
    </w:p>
    <w:p>
      <w:pPr>
        <w:pStyle w:val="BodyText"/>
        <w:rPr>
          <w:sz w:val="21"/>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r>
        <w:rPr>
          <w:sz w:val="20"/>
        </w:rPr>
        <w:t>in January 2019, when three (3) vacancies were created on the KRN</w:t>
      </w:r>
      <w:r>
        <w:rPr>
          <w:spacing w:val="-15"/>
          <w:sz w:val="20"/>
        </w:rPr>
        <w:t> </w:t>
      </w:r>
      <w:r>
        <w:rPr>
          <w:sz w:val="20"/>
        </w:rPr>
        <w:t>Board;</w:t>
      </w:r>
    </w:p>
    <w:p>
      <w:pPr>
        <w:pStyle w:val="BodyText"/>
        <w:spacing w:before="8"/>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r>
        <w:rPr>
          <w:sz w:val="20"/>
        </w:rPr>
        <w:t>at the 2019</w:t>
      </w:r>
      <w:r>
        <w:rPr>
          <w:spacing w:val="-4"/>
          <w:sz w:val="20"/>
        </w:rPr>
        <w:t> </w:t>
      </w:r>
      <w:r>
        <w:rPr>
          <w:sz w:val="20"/>
        </w:rPr>
        <w:t>AGM;</w:t>
      </w:r>
    </w:p>
    <w:p>
      <w:pPr>
        <w:pStyle w:val="BodyText"/>
        <w:spacing w:before="9"/>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r>
        <w:rPr>
          <w:sz w:val="20"/>
        </w:rPr>
        <w:t>in</w:t>
      </w:r>
      <w:r>
        <w:rPr>
          <w:spacing w:val="-12"/>
          <w:sz w:val="20"/>
        </w:rPr>
        <w:t> </w:t>
      </w:r>
      <w:r>
        <w:rPr>
          <w:sz w:val="20"/>
        </w:rPr>
        <w:t>August</w:t>
      </w:r>
      <w:r>
        <w:rPr>
          <w:spacing w:val="-12"/>
          <w:sz w:val="20"/>
        </w:rPr>
        <w:t> </w:t>
      </w:r>
      <w:r>
        <w:rPr>
          <w:sz w:val="20"/>
        </w:rPr>
        <w:t>2019</w:t>
      </w:r>
      <w:r>
        <w:rPr>
          <w:spacing w:val="-12"/>
          <w:sz w:val="20"/>
        </w:rPr>
        <w:t> </w:t>
      </w:r>
      <w:r>
        <w:rPr>
          <w:sz w:val="20"/>
        </w:rPr>
        <w:t>when</w:t>
      </w:r>
      <w:r>
        <w:rPr>
          <w:spacing w:val="-12"/>
          <w:sz w:val="20"/>
        </w:rPr>
        <w:t> </w:t>
      </w:r>
      <w:r>
        <w:rPr>
          <w:sz w:val="20"/>
        </w:rPr>
        <w:t>Anjaria</w:t>
      </w:r>
      <w:r>
        <w:rPr>
          <w:spacing w:val="-12"/>
          <w:sz w:val="20"/>
        </w:rPr>
        <w:t> </w:t>
      </w:r>
      <w:r>
        <w:rPr>
          <w:sz w:val="20"/>
        </w:rPr>
        <w:t>was</w:t>
      </w:r>
      <w:r>
        <w:rPr>
          <w:spacing w:val="-11"/>
          <w:sz w:val="20"/>
        </w:rPr>
        <w:t> </w:t>
      </w:r>
      <w:r>
        <w:rPr>
          <w:sz w:val="20"/>
        </w:rPr>
        <w:t>appointed</w:t>
      </w:r>
      <w:r>
        <w:rPr>
          <w:spacing w:val="-12"/>
          <w:sz w:val="20"/>
        </w:rPr>
        <w:t> </w:t>
      </w:r>
      <w:r>
        <w:rPr>
          <w:sz w:val="20"/>
        </w:rPr>
        <w:t>as</w:t>
      </w:r>
      <w:r>
        <w:rPr>
          <w:spacing w:val="-11"/>
          <w:sz w:val="20"/>
        </w:rPr>
        <w:t> </w:t>
      </w:r>
      <w:r>
        <w:rPr>
          <w:sz w:val="20"/>
        </w:rPr>
        <w:t>the</w:t>
      </w:r>
      <w:r>
        <w:rPr>
          <w:spacing w:val="-12"/>
          <w:sz w:val="20"/>
        </w:rPr>
        <w:t> </w:t>
      </w:r>
      <w:r>
        <w:rPr>
          <w:sz w:val="20"/>
        </w:rPr>
        <w:t>third</w:t>
      </w:r>
      <w:r>
        <w:rPr>
          <w:spacing w:val="-11"/>
          <w:sz w:val="20"/>
        </w:rPr>
        <w:t> </w:t>
      </w:r>
      <w:r>
        <w:rPr>
          <w:sz w:val="20"/>
        </w:rPr>
        <w:t>GSFC</w:t>
      </w:r>
      <w:r>
        <w:rPr>
          <w:spacing w:val="-12"/>
          <w:sz w:val="20"/>
        </w:rPr>
        <w:t> </w:t>
      </w:r>
      <w:r>
        <w:rPr>
          <w:sz w:val="20"/>
        </w:rPr>
        <w:t>Nominee</w:t>
      </w:r>
      <w:r>
        <w:rPr>
          <w:spacing w:val="-11"/>
          <w:sz w:val="20"/>
        </w:rPr>
        <w:t> </w:t>
      </w:r>
      <w:r>
        <w:rPr>
          <w:sz w:val="20"/>
        </w:rPr>
        <w:t>to</w:t>
      </w:r>
      <w:r>
        <w:rPr>
          <w:spacing w:val="-12"/>
          <w:sz w:val="20"/>
        </w:rPr>
        <w:t> </w:t>
      </w:r>
      <w:r>
        <w:rPr>
          <w:sz w:val="20"/>
        </w:rPr>
        <w:t>the</w:t>
      </w:r>
      <w:r>
        <w:rPr>
          <w:spacing w:val="-11"/>
          <w:sz w:val="20"/>
        </w:rPr>
        <w:t> </w:t>
      </w:r>
      <w:r>
        <w:rPr>
          <w:sz w:val="20"/>
        </w:rPr>
        <w:t>KRN</w:t>
      </w:r>
      <w:r>
        <w:rPr>
          <w:spacing w:val="-12"/>
          <w:sz w:val="20"/>
        </w:rPr>
        <w:t> </w:t>
      </w:r>
      <w:r>
        <w:rPr>
          <w:sz w:val="20"/>
        </w:rPr>
        <w:t>Board;</w:t>
      </w:r>
    </w:p>
    <w:p>
      <w:pPr>
        <w:pStyle w:val="BodyText"/>
        <w:spacing w:before="8"/>
        <w:rPr>
          <w:sz w:val="30"/>
        </w:rPr>
      </w:pPr>
    </w:p>
    <w:p>
      <w:pPr>
        <w:pStyle w:val="ListParagraph"/>
        <w:numPr>
          <w:ilvl w:val="1"/>
          <w:numId w:val="1"/>
        </w:numPr>
        <w:tabs>
          <w:tab w:pos="1559" w:val="left" w:leader="none"/>
          <w:tab w:pos="1561" w:val="left" w:leader="none"/>
        </w:tabs>
        <w:spacing w:line="240" w:lineRule="auto" w:before="1" w:after="0"/>
        <w:ind w:left="1560" w:right="0" w:hanging="721"/>
        <w:jc w:val="left"/>
        <w:rPr>
          <w:rFonts w:ascii="Symbol" w:hAnsi="Symbol"/>
          <w:sz w:val="20"/>
        </w:rPr>
      </w:pPr>
      <w:r>
        <w:rPr>
          <w:sz w:val="20"/>
        </w:rPr>
        <w:t>in May 2020, When Varma resigned from the KRN Board, creating a</w:t>
      </w:r>
      <w:r>
        <w:rPr>
          <w:spacing w:val="-17"/>
          <w:sz w:val="20"/>
        </w:rPr>
        <w:t> </w:t>
      </w:r>
      <w:r>
        <w:rPr>
          <w:sz w:val="20"/>
        </w:rPr>
        <w:t>vacancy;</w:t>
      </w:r>
    </w:p>
    <w:p>
      <w:pPr>
        <w:pStyle w:val="BodyText"/>
        <w:spacing w:before="7"/>
        <w:rPr>
          <w:sz w:val="30"/>
        </w:rPr>
      </w:pPr>
    </w:p>
    <w:p>
      <w:pPr>
        <w:pStyle w:val="ListParagraph"/>
        <w:numPr>
          <w:ilvl w:val="1"/>
          <w:numId w:val="1"/>
        </w:numPr>
        <w:tabs>
          <w:tab w:pos="1559" w:val="left" w:leader="none"/>
          <w:tab w:pos="1561" w:val="left" w:leader="none"/>
        </w:tabs>
        <w:spacing w:line="240" w:lineRule="auto" w:before="0" w:after="0"/>
        <w:ind w:left="1560" w:right="0" w:hanging="721"/>
        <w:jc w:val="left"/>
        <w:rPr>
          <w:rFonts w:ascii="Symbol" w:hAnsi="Symbol"/>
          <w:sz w:val="20"/>
        </w:rPr>
      </w:pPr>
      <w:r>
        <w:rPr>
          <w:sz w:val="20"/>
        </w:rPr>
        <w:t>at the 2020 AGM;</w:t>
      </w:r>
      <w:r>
        <w:rPr>
          <w:spacing w:val="-5"/>
          <w:sz w:val="20"/>
        </w:rPr>
        <w:t> </w:t>
      </w:r>
      <w:r>
        <w:rPr>
          <w:sz w:val="20"/>
        </w:rPr>
        <w:t>and</w:t>
      </w:r>
    </w:p>
    <w:p>
      <w:pPr>
        <w:pStyle w:val="BodyText"/>
        <w:spacing w:before="9"/>
        <w:rPr>
          <w:sz w:val="30"/>
        </w:rPr>
      </w:pPr>
    </w:p>
    <w:p>
      <w:pPr>
        <w:pStyle w:val="ListParagraph"/>
        <w:numPr>
          <w:ilvl w:val="1"/>
          <w:numId w:val="1"/>
        </w:numPr>
        <w:tabs>
          <w:tab w:pos="1560" w:val="left" w:leader="none"/>
          <w:tab w:pos="1561" w:val="left" w:leader="none"/>
        </w:tabs>
        <w:spacing w:line="240" w:lineRule="auto" w:before="0" w:after="0"/>
        <w:ind w:left="1560" w:right="0" w:hanging="721"/>
        <w:jc w:val="left"/>
        <w:rPr>
          <w:rFonts w:ascii="Symbol" w:hAnsi="Symbol"/>
          <w:sz w:val="20"/>
        </w:rPr>
      </w:pPr>
      <w:r>
        <w:rPr>
          <w:sz w:val="20"/>
        </w:rPr>
        <w:t>at the Special</w:t>
      </w:r>
      <w:r>
        <w:rPr>
          <w:spacing w:val="-5"/>
          <w:sz w:val="20"/>
        </w:rPr>
        <w:t> </w:t>
      </w:r>
      <w:r>
        <w:rPr>
          <w:sz w:val="20"/>
        </w:rPr>
        <w:t>Meeting.</w:t>
      </w:r>
    </w:p>
    <w:p>
      <w:pPr>
        <w:pStyle w:val="BodyText"/>
        <w:spacing w:before="8"/>
        <w:rPr>
          <w:sz w:val="30"/>
        </w:rPr>
      </w:pPr>
    </w:p>
    <w:p>
      <w:pPr>
        <w:pStyle w:val="ListParagraph"/>
        <w:numPr>
          <w:ilvl w:val="0"/>
          <w:numId w:val="1"/>
        </w:numPr>
        <w:tabs>
          <w:tab w:pos="840" w:val="left" w:leader="none"/>
          <w:tab w:pos="841" w:val="left" w:leader="none"/>
        </w:tabs>
        <w:spacing w:line="240" w:lineRule="auto" w:before="0" w:after="0"/>
        <w:ind w:left="840" w:right="0" w:hanging="721"/>
        <w:jc w:val="left"/>
        <w:rPr>
          <w:sz w:val="20"/>
        </w:rPr>
      </w:pPr>
      <w:r>
        <w:rPr>
          <w:sz w:val="20"/>
        </w:rPr>
        <w:t>I verily believe that neither GSFC, nor the GSFC</w:t>
      </w:r>
      <w:r>
        <w:rPr>
          <w:spacing w:val="-11"/>
          <w:sz w:val="20"/>
        </w:rPr>
        <w:t> </w:t>
      </w:r>
      <w:r>
        <w:rPr>
          <w:sz w:val="20"/>
        </w:rPr>
        <w:t>Nominees:</w:t>
      </w:r>
    </w:p>
    <w:p>
      <w:pPr>
        <w:pStyle w:val="BodyText"/>
        <w:spacing w:before="10"/>
        <w:rPr>
          <w:sz w:val="30"/>
        </w:rPr>
      </w:pPr>
    </w:p>
    <w:p>
      <w:pPr>
        <w:pStyle w:val="ListParagraph"/>
        <w:numPr>
          <w:ilvl w:val="1"/>
          <w:numId w:val="1"/>
        </w:numPr>
        <w:tabs>
          <w:tab w:pos="1560" w:val="left" w:leader="none"/>
          <w:tab w:pos="1561" w:val="left" w:leader="none"/>
        </w:tabs>
        <w:spacing w:line="350" w:lineRule="auto" w:before="0" w:after="0"/>
        <w:ind w:left="1560" w:right="1156" w:hanging="721"/>
        <w:jc w:val="left"/>
        <w:rPr>
          <w:rFonts w:ascii="Symbol" w:hAnsi="Symbol"/>
          <w:sz w:val="20"/>
        </w:rPr>
      </w:pPr>
      <w:r>
        <w:rPr>
          <w:sz w:val="20"/>
        </w:rPr>
        <w:t>had any intention to follow, or even bothered to try to follow, either the letter and spirit of Securities Laws, TSX Rules, and the GSFC Nomination Right;</w:t>
      </w:r>
      <w:r>
        <w:rPr>
          <w:spacing w:val="-12"/>
          <w:sz w:val="20"/>
        </w:rPr>
        <w:t> </w:t>
      </w:r>
      <w:r>
        <w:rPr>
          <w:sz w:val="20"/>
        </w:rPr>
        <w:t>and</w:t>
      </w:r>
    </w:p>
    <w:p>
      <w:pPr>
        <w:pStyle w:val="BodyText"/>
        <w:spacing w:before="10"/>
        <w:rPr>
          <w:sz w:val="21"/>
        </w:rPr>
      </w:pPr>
    </w:p>
    <w:p>
      <w:pPr>
        <w:pStyle w:val="ListParagraph"/>
        <w:numPr>
          <w:ilvl w:val="1"/>
          <w:numId w:val="1"/>
        </w:numPr>
        <w:tabs>
          <w:tab w:pos="1560" w:val="left" w:leader="none"/>
          <w:tab w:pos="1561" w:val="left" w:leader="none"/>
        </w:tabs>
        <w:spacing w:line="350" w:lineRule="auto" w:before="0" w:after="0"/>
        <w:ind w:left="1560" w:right="1155" w:hanging="721"/>
        <w:jc w:val="left"/>
        <w:rPr>
          <w:rFonts w:ascii="Symbol" w:hAnsi="Symbol"/>
          <w:sz w:val="20"/>
        </w:rPr>
      </w:pPr>
      <w:r>
        <w:rPr>
          <w:sz w:val="20"/>
        </w:rPr>
        <w:t>all</w:t>
      </w:r>
      <w:r>
        <w:rPr>
          <w:spacing w:val="-4"/>
          <w:sz w:val="20"/>
        </w:rPr>
        <w:t> </w:t>
      </w:r>
      <w:r>
        <w:rPr>
          <w:sz w:val="20"/>
        </w:rPr>
        <w:t>actions</w:t>
      </w:r>
      <w:r>
        <w:rPr>
          <w:spacing w:val="-4"/>
          <w:sz w:val="20"/>
        </w:rPr>
        <w:t> </w:t>
      </w:r>
      <w:r>
        <w:rPr>
          <w:sz w:val="20"/>
        </w:rPr>
        <w:t>of</w:t>
      </w:r>
      <w:r>
        <w:rPr>
          <w:spacing w:val="-5"/>
          <w:sz w:val="20"/>
        </w:rPr>
        <w:t> </w:t>
      </w:r>
      <w:r>
        <w:rPr>
          <w:sz w:val="20"/>
        </w:rPr>
        <w:t>GSFC</w:t>
      </w:r>
      <w:r>
        <w:rPr>
          <w:spacing w:val="-4"/>
          <w:sz w:val="20"/>
        </w:rPr>
        <w:t> </w:t>
      </w:r>
      <w:r>
        <w:rPr>
          <w:sz w:val="20"/>
        </w:rPr>
        <w:t>and</w:t>
      </w:r>
      <w:r>
        <w:rPr>
          <w:spacing w:val="-3"/>
          <w:sz w:val="20"/>
        </w:rPr>
        <w:t> </w:t>
      </w:r>
      <w:r>
        <w:rPr>
          <w:sz w:val="20"/>
        </w:rPr>
        <w:t>the</w:t>
      </w:r>
      <w:r>
        <w:rPr>
          <w:spacing w:val="-3"/>
          <w:sz w:val="20"/>
        </w:rPr>
        <w:t> </w:t>
      </w:r>
      <w:r>
        <w:rPr>
          <w:sz w:val="20"/>
        </w:rPr>
        <w:t>GSFC</w:t>
      </w:r>
      <w:r>
        <w:rPr>
          <w:spacing w:val="-3"/>
          <w:sz w:val="20"/>
        </w:rPr>
        <w:t> </w:t>
      </w:r>
      <w:r>
        <w:rPr>
          <w:sz w:val="20"/>
        </w:rPr>
        <w:t>Nominees</w:t>
      </w:r>
      <w:r>
        <w:rPr>
          <w:spacing w:val="-2"/>
          <w:sz w:val="20"/>
        </w:rPr>
        <w:t> </w:t>
      </w:r>
      <w:r>
        <w:rPr>
          <w:sz w:val="20"/>
        </w:rPr>
        <w:t>was</w:t>
      </w:r>
      <w:r>
        <w:rPr>
          <w:spacing w:val="-4"/>
          <w:sz w:val="20"/>
        </w:rPr>
        <w:t> </w:t>
      </w:r>
      <w:r>
        <w:rPr>
          <w:sz w:val="20"/>
        </w:rPr>
        <w:t>to</w:t>
      </w:r>
      <w:r>
        <w:rPr>
          <w:spacing w:val="-3"/>
          <w:sz w:val="20"/>
        </w:rPr>
        <w:t> </w:t>
      </w:r>
      <w:r>
        <w:rPr>
          <w:sz w:val="20"/>
        </w:rPr>
        <w:t>further</w:t>
      </w:r>
      <w:r>
        <w:rPr>
          <w:spacing w:val="-3"/>
          <w:sz w:val="20"/>
        </w:rPr>
        <w:t> </w:t>
      </w:r>
      <w:r>
        <w:rPr>
          <w:sz w:val="20"/>
        </w:rPr>
        <w:t>the</w:t>
      </w:r>
      <w:r>
        <w:rPr>
          <w:spacing w:val="-4"/>
          <w:sz w:val="20"/>
        </w:rPr>
        <w:t> </w:t>
      </w:r>
      <w:r>
        <w:rPr>
          <w:sz w:val="20"/>
        </w:rPr>
        <w:t>agenda</w:t>
      </w:r>
      <w:r>
        <w:rPr>
          <w:spacing w:val="-4"/>
          <w:sz w:val="20"/>
        </w:rPr>
        <w:t> </w:t>
      </w:r>
      <w:r>
        <w:rPr>
          <w:sz w:val="20"/>
        </w:rPr>
        <w:t>of</w:t>
      </w:r>
      <w:r>
        <w:rPr>
          <w:spacing w:val="-4"/>
          <w:sz w:val="20"/>
        </w:rPr>
        <w:t> </w:t>
      </w:r>
      <w:r>
        <w:rPr>
          <w:sz w:val="20"/>
        </w:rPr>
        <w:t>GSFC,</w:t>
      </w:r>
      <w:r>
        <w:rPr>
          <w:spacing w:val="-4"/>
          <w:sz w:val="20"/>
        </w:rPr>
        <w:t> </w:t>
      </w:r>
      <w:r>
        <w:rPr>
          <w:sz w:val="20"/>
        </w:rPr>
        <w:t>and</w:t>
      </w:r>
      <w:r>
        <w:rPr>
          <w:spacing w:val="-4"/>
          <w:sz w:val="20"/>
        </w:rPr>
        <w:t> </w:t>
      </w:r>
      <w:r>
        <w:rPr>
          <w:sz w:val="20"/>
        </w:rPr>
        <w:t>not what was in the best interests of all shareholders of</w:t>
      </w:r>
      <w:r>
        <w:rPr>
          <w:spacing w:val="-9"/>
          <w:sz w:val="20"/>
        </w:rPr>
        <w:t> </w:t>
      </w:r>
      <w:r>
        <w:rPr>
          <w:sz w:val="20"/>
        </w:rPr>
        <w:t>KRN.</w:t>
      </w:r>
    </w:p>
    <w:p>
      <w:pPr>
        <w:spacing w:after="0" w:line="350" w:lineRule="auto"/>
        <w:jc w:val="left"/>
        <w:rPr>
          <w:rFonts w:ascii="Symbol" w:hAnsi="Symbol"/>
          <w:sz w:val="20"/>
        </w:rPr>
        <w:sectPr>
          <w:footerReference w:type="default" r:id="rId13"/>
          <w:pgSz w:w="12240" w:h="15840"/>
          <w:pgMar w:footer="1259" w:header="0" w:top="1220" w:bottom="1440" w:left="1320" w:right="280"/>
          <w:pgNumType w:start="17"/>
        </w:sectPr>
      </w:pPr>
    </w:p>
    <w:p>
      <w:pPr>
        <w:pStyle w:val="ListParagraph"/>
        <w:numPr>
          <w:ilvl w:val="0"/>
          <w:numId w:val="6"/>
        </w:numPr>
        <w:tabs>
          <w:tab w:pos="839" w:val="left" w:leader="none"/>
          <w:tab w:pos="841" w:val="left" w:leader="none"/>
        </w:tabs>
        <w:spacing w:line="240" w:lineRule="auto" w:before="75" w:after="0"/>
        <w:ind w:left="840" w:right="0" w:hanging="721"/>
        <w:jc w:val="left"/>
        <w:rPr>
          <w:sz w:val="20"/>
        </w:rPr>
      </w:pPr>
      <w:r>
        <w:rPr>
          <w:sz w:val="20"/>
          <w:u w:val="single"/>
        </w:rPr>
        <w:t>Summary</w:t>
      </w:r>
    </w:p>
    <w:p>
      <w:pPr>
        <w:pStyle w:val="BodyText"/>
        <w:spacing w:before="8"/>
        <w:rPr>
          <w:sz w:val="22"/>
        </w:rPr>
      </w:pPr>
    </w:p>
    <w:p>
      <w:pPr>
        <w:pStyle w:val="ListParagraph"/>
        <w:numPr>
          <w:ilvl w:val="0"/>
          <w:numId w:val="1"/>
        </w:numPr>
        <w:tabs>
          <w:tab w:pos="841" w:val="left" w:leader="none"/>
        </w:tabs>
        <w:spacing w:line="360" w:lineRule="auto" w:before="94" w:after="0"/>
        <w:ind w:left="840" w:right="1157" w:hanging="721"/>
        <w:jc w:val="both"/>
        <w:rPr>
          <w:sz w:val="20"/>
        </w:rPr>
      </w:pPr>
      <w:r>
        <w:rPr>
          <w:sz w:val="20"/>
        </w:rPr>
        <w:t>In summary, I verily believe that the actions taken by Varma, Nanavaty and Anjaria clearly demonstrate that once the GSFC Nominees found themselves in control of the KRN Board in January</w:t>
      </w:r>
      <w:r>
        <w:rPr>
          <w:spacing w:val="-1"/>
          <w:sz w:val="20"/>
        </w:rPr>
        <w:t> </w:t>
      </w:r>
      <w:r>
        <w:rPr>
          <w:sz w:val="20"/>
        </w:rPr>
        <w:t>2019:</w:t>
      </w:r>
    </w:p>
    <w:p>
      <w:pPr>
        <w:pStyle w:val="BodyText"/>
        <w:rPr>
          <w:sz w:val="21"/>
        </w:rPr>
      </w:pPr>
    </w:p>
    <w:p>
      <w:pPr>
        <w:pStyle w:val="ListParagraph"/>
        <w:numPr>
          <w:ilvl w:val="1"/>
          <w:numId w:val="1"/>
        </w:numPr>
        <w:tabs>
          <w:tab w:pos="1559" w:val="left" w:leader="none"/>
          <w:tab w:pos="1561" w:val="left" w:leader="none"/>
        </w:tabs>
        <w:spacing w:line="240" w:lineRule="auto" w:before="0" w:after="0"/>
        <w:ind w:left="1560" w:right="0" w:hanging="721"/>
        <w:jc w:val="left"/>
        <w:rPr>
          <w:rFonts w:ascii="Symbol" w:hAnsi="Symbol"/>
          <w:sz w:val="20"/>
        </w:rPr>
      </w:pPr>
      <w:r>
        <w:rPr>
          <w:sz w:val="20"/>
        </w:rPr>
        <w:t>they did everything in their power to maintain control of the KRN</w:t>
      </w:r>
      <w:r>
        <w:rPr>
          <w:spacing w:val="-15"/>
          <w:sz w:val="20"/>
        </w:rPr>
        <w:t> </w:t>
      </w:r>
      <w:r>
        <w:rPr>
          <w:sz w:val="20"/>
        </w:rPr>
        <w:t>Board;</w:t>
      </w:r>
    </w:p>
    <w:p>
      <w:pPr>
        <w:pStyle w:val="BodyText"/>
        <w:spacing w:before="9"/>
        <w:rPr>
          <w:sz w:val="30"/>
        </w:rPr>
      </w:pPr>
    </w:p>
    <w:p>
      <w:pPr>
        <w:pStyle w:val="ListParagraph"/>
        <w:numPr>
          <w:ilvl w:val="1"/>
          <w:numId w:val="1"/>
        </w:numPr>
        <w:tabs>
          <w:tab w:pos="1559" w:val="left" w:leader="none"/>
          <w:tab w:pos="1561" w:val="left" w:leader="none"/>
        </w:tabs>
        <w:spacing w:line="240" w:lineRule="auto" w:before="0" w:after="0"/>
        <w:ind w:left="1560" w:right="0" w:hanging="721"/>
        <w:jc w:val="left"/>
        <w:rPr>
          <w:rFonts w:ascii="Symbol" w:hAnsi="Symbol"/>
          <w:sz w:val="20"/>
        </w:rPr>
      </w:pPr>
      <w:r>
        <w:rPr>
          <w:sz w:val="20"/>
        </w:rPr>
        <w:t>they had no intention to follow Securities Laws, TSX rules or the GSFC Nomination</w:t>
      </w:r>
      <w:r>
        <w:rPr>
          <w:spacing w:val="-20"/>
          <w:sz w:val="20"/>
        </w:rPr>
        <w:t> </w:t>
      </w:r>
      <w:r>
        <w:rPr>
          <w:sz w:val="20"/>
        </w:rPr>
        <w:t>Right;</w:t>
      </w:r>
    </w:p>
    <w:p>
      <w:pPr>
        <w:pStyle w:val="BodyText"/>
        <w:spacing w:before="7"/>
        <w:rPr>
          <w:sz w:val="30"/>
        </w:rPr>
      </w:pPr>
    </w:p>
    <w:p>
      <w:pPr>
        <w:pStyle w:val="ListParagraph"/>
        <w:numPr>
          <w:ilvl w:val="1"/>
          <w:numId w:val="1"/>
        </w:numPr>
        <w:tabs>
          <w:tab w:pos="1559" w:val="left" w:leader="none"/>
          <w:tab w:pos="1561" w:val="left" w:leader="none"/>
        </w:tabs>
        <w:spacing w:line="240" w:lineRule="auto" w:before="0" w:after="0"/>
        <w:ind w:left="1560" w:right="0" w:hanging="721"/>
        <w:jc w:val="left"/>
        <w:rPr>
          <w:rFonts w:ascii="Symbol" w:hAnsi="Symbol"/>
          <w:sz w:val="20"/>
        </w:rPr>
      </w:pPr>
      <w:r>
        <w:rPr>
          <w:sz w:val="20"/>
        </w:rPr>
        <w:t>they were arrogant enough to think they could get away with it;</w:t>
      </w:r>
      <w:r>
        <w:rPr>
          <w:spacing w:val="-13"/>
          <w:sz w:val="20"/>
        </w:rPr>
        <w:t> </w:t>
      </w:r>
      <w:r>
        <w:rPr>
          <w:sz w:val="20"/>
        </w:rPr>
        <w:t>and</w:t>
      </w:r>
    </w:p>
    <w:p>
      <w:pPr>
        <w:pStyle w:val="BodyText"/>
        <w:spacing w:before="9"/>
        <w:rPr>
          <w:sz w:val="30"/>
        </w:rPr>
      </w:pPr>
    </w:p>
    <w:p>
      <w:pPr>
        <w:pStyle w:val="ListParagraph"/>
        <w:numPr>
          <w:ilvl w:val="1"/>
          <w:numId w:val="1"/>
        </w:numPr>
        <w:tabs>
          <w:tab w:pos="1559" w:val="left" w:leader="none"/>
          <w:tab w:pos="1561" w:val="left" w:leader="none"/>
        </w:tabs>
        <w:spacing w:line="355" w:lineRule="auto" w:before="0" w:after="0"/>
        <w:ind w:left="1560" w:right="1157" w:hanging="721"/>
        <w:jc w:val="both"/>
        <w:rPr>
          <w:rFonts w:ascii="Symbol" w:hAnsi="Symbol"/>
          <w:sz w:val="20"/>
        </w:rPr>
      </w:pPr>
      <w:r>
        <w:rPr>
          <w:sz w:val="20"/>
        </w:rPr>
        <w:t>they thought KRN was their private company, they could pursue the agenda of GSFC without interference, and conduct the business of Karnalyte according to Indian business practices, rather than Canadian business</w:t>
      </w:r>
      <w:r>
        <w:rPr>
          <w:spacing w:val="-6"/>
          <w:sz w:val="20"/>
        </w:rPr>
        <w:t> </w:t>
      </w:r>
      <w:r>
        <w:rPr>
          <w:sz w:val="20"/>
        </w:rPr>
        <w:t>practices.</w:t>
      </w:r>
    </w:p>
    <w:p>
      <w:pPr>
        <w:pStyle w:val="BodyText"/>
        <w:spacing w:before="3"/>
        <w:rPr>
          <w:sz w:val="21"/>
        </w:rPr>
      </w:pPr>
    </w:p>
    <w:p>
      <w:pPr>
        <w:pStyle w:val="ListParagraph"/>
        <w:numPr>
          <w:ilvl w:val="0"/>
          <w:numId w:val="1"/>
        </w:numPr>
        <w:tabs>
          <w:tab w:pos="841" w:val="left" w:leader="none"/>
        </w:tabs>
        <w:spacing w:line="360" w:lineRule="auto" w:before="0" w:after="0"/>
        <w:ind w:left="840" w:right="1156" w:hanging="721"/>
        <w:jc w:val="both"/>
        <w:rPr>
          <w:sz w:val="20"/>
        </w:rPr>
      </w:pPr>
      <w:r>
        <w:rPr>
          <w:sz w:val="20"/>
        </w:rPr>
        <w:t>I verily believe the actions of Varma, Nanavaty, and Anjaria that demonstrate their desire to maintain control of the KRN Board,</w:t>
      </w:r>
      <w:r>
        <w:rPr>
          <w:spacing w:val="-6"/>
          <w:sz w:val="20"/>
        </w:rPr>
        <w:t> </w:t>
      </w:r>
      <w:r>
        <w:rPr>
          <w:sz w:val="20"/>
        </w:rPr>
        <w:t>include:</w:t>
      </w:r>
    </w:p>
    <w:p>
      <w:pPr>
        <w:pStyle w:val="BodyText"/>
        <w:rPr>
          <w:sz w:val="21"/>
        </w:rPr>
      </w:pPr>
    </w:p>
    <w:p>
      <w:pPr>
        <w:pStyle w:val="ListParagraph"/>
        <w:numPr>
          <w:ilvl w:val="1"/>
          <w:numId w:val="1"/>
        </w:numPr>
        <w:tabs>
          <w:tab w:pos="1559" w:val="left" w:leader="none"/>
          <w:tab w:pos="1561" w:val="left" w:leader="none"/>
        </w:tabs>
        <w:spacing w:line="240" w:lineRule="auto" w:before="0" w:after="0"/>
        <w:ind w:left="1560" w:right="0" w:hanging="721"/>
        <w:jc w:val="left"/>
        <w:rPr>
          <w:rFonts w:ascii="Symbol" w:hAnsi="Symbol"/>
          <w:sz w:val="20"/>
        </w:rPr>
      </w:pPr>
      <w:r>
        <w:rPr>
          <w:sz w:val="20"/>
        </w:rPr>
        <w:t>not filling any vacancies on the KRN</w:t>
      </w:r>
      <w:r>
        <w:rPr>
          <w:spacing w:val="-7"/>
          <w:sz w:val="20"/>
        </w:rPr>
        <w:t> </w:t>
      </w:r>
      <w:r>
        <w:rPr>
          <w:sz w:val="20"/>
        </w:rPr>
        <w:t>Board;</w:t>
      </w:r>
    </w:p>
    <w:p>
      <w:pPr>
        <w:pStyle w:val="BodyText"/>
        <w:spacing w:before="7"/>
        <w:rPr>
          <w:sz w:val="30"/>
        </w:rPr>
      </w:pPr>
    </w:p>
    <w:p>
      <w:pPr>
        <w:pStyle w:val="ListParagraph"/>
        <w:numPr>
          <w:ilvl w:val="1"/>
          <w:numId w:val="1"/>
        </w:numPr>
        <w:tabs>
          <w:tab w:pos="1560" w:val="left" w:leader="none"/>
          <w:tab w:pos="1561" w:val="left" w:leader="none"/>
        </w:tabs>
        <w:spacing w:line="240" w:lineRule="auto" w:before="1" w:after="0"/>
        <w:ind w:left="1560" w:right="0" w:hanging="721"/>
        <w:jc w:val="left"/>
        <w:rPr>
          <w:rFonts w:ascii="Symbol" w:hAnsi="Symbol"/>
          <w:sz w:val="20"/>
        </w:rPr>
      </w:pPr>
      <w:r>
        <w:rPr>
          <w:sz w:val="20"/>
        </w:rPr>
        <w:t>rejecting all attempts by Rowan to add independent directors to the KRN</w:t>
      </w:r>
      <w:r>
        <w:rPr>
          <w:spacing w:val="-16"/>
          <w:sz w:val="20"/>
        </w:rPr>
        <w:t> </w:t>
      </w:r>
      <w:r>
        <w:rPr>
          <w:sz w:val="20"/>
        </w:rPr>
        <w:t>Board;</w:t>
      </w:r>
    </w:p>
    <w:p>
      <w:pPr>
        <w:pStyle w:val="BodyText"/>
        <w:spacing w:before="8"/>
        <w:rPr>
          <w:sz w:val="30"/>
        </w:rPr>
      </w:pPr>
    </w:p>
    <w:p>
      <w:pPr>
        <w:pStyle w:val="ListParagraph"/>
        <w:numPr>
          <w:ilvl w:val="1"/>
          <w:numId w:val="1"/>
        </w:numPr>
        <w:tabs>
          <w:tab w:pos="1560" w:val="left" w:leader="none"/>
          <w:tab w:pos="1561" w:val="left" w:leader="none"/>
        </w:tabs>
        <w:spacing w:line="240" w:lineRule="auto" w:before="0" w:after="0"/>
        <w:ind w:left="1560" w:right="0" w:hanging="721"/>
        <w:jc w:val="left"/>
        <w:rPr>
          <w:rFonts w:ascii="Symbol" w:hAnsi="Symbol"/>
          <w:sz w:val="20"/>
        </w:rPr>
      </w:pPr>
      <w:r>
        <w:rPr>
          <w:sz w:val="20"/>
        </w:rPr>
        <w:t>rejecting four (4) qualified, independent candidates for election to the KRN</w:t>
      </w:r>
      <w:r>
        <w:rPr>
          <w:spacing w:val="-14"/>
          <w:sz w:val="20"/>
        </w:rPr>
        <w:t> </w:t>
      </w:r>
      <w:r>
        <w:rPr>
          <w:sz w:val="20"/>
        </w:rPr>
        <w:t>Board;</w:t>
      </w:r>
    </w:p>
    <w:p>
      <w:pPr>
        <w:pStyle w:val="BodyText"/>
        <w:spacing w:before="9"/>
        <w:rPr>
          <w:sz w:val="30"/>
        </w:rPr>
      </w:pPr>
    </w:p>
    <w:p>
      <w:pPr>
        <w:pStyle w:val="ListParagraph"/>
        <w:numPr>
          <w:ilvl w:val="1"/>
          <w:numId w:val="1"/>
        </w:numPr>
        <w:tabs>
          <w:tab w:pos="1560" w:val="left" w:leader="none"/>
          <w:tab w:pos="1561" w:val="left" w:leader="none"/>
        </w:tabs>
        <w:spacing w:line="350" w:lineRule="auto" w:before="0" w:after="0"/>
        <w:ind w:left="1560" w:right="1156" w:hanging="721"/>
        <w:jc w:val="both"/>
        <w:rPr>
          <w:rFonts w:ascii="Symbol" w:hAnsi="Symbol"/>
          <w:sz w:val="20"/>
        </w:rPr>
      </w:pPr>
      <w:r>
        <w:rPr>
          <w:sz w:val="20"/>
        </w:rPr>
        <w:t>ensuring GSFC Nominees continued to comprise the majority of the members of the KRN Board;</w:t>
      </w:r>
    </w:p>
    <w:p>
      <w:pPr>
        <w:pStyle w:val="BodyText"/>
        <w:spacing w:before="8"/>
        <w:rPr>
          <w:sz w:val="21"/>
        </w:rPr>
      </w:pPr>
    </w:p>
    <w:p>
      <w:pPr>
        <w:pStyle w:val="ListParagraph"/>
        <w:numPr>
          <w:ilvl w:val="1"/>
          <w:numId w:val="1"/>
        </w:numPr>
        <w:tabs>
          <w:tab w:pos="1560" w:val="left" w:leader="none"/>
          <w:tab w:pos="1561" w:val="left" w:leader="none"/>
        </w:tabs>
        <w:spacing w:line="350" w:lineRule="auto" w:before="1" w:after="0"/>
        <w:ind w:left="1560" w:right="1157" w:hanging="721"/>
        <w:jc w:val="both"/>
        <w:rPr>
          <w:rFonts w:ascii="Symbol" w:hAnsi="Symbol"/>
          <w:sz w:val="20"/>
        </w:rPr>
      </w:pPr>
      <w:r>
        <w:rPr>
          <w:sz w:val="20"/>
        </w:rPr>
        <w:t>applying to the OSC for an exemption from the requirement to have a fully independent audit</w:t>
      </w:r>
      <w:r>
        <w:rPr>
          <w:spacing w:val="-2"/>
          <w:sz w:val="20"/>
        </w:rPr>
        <w:t> </w:t>
      </w:r>
      <w:r>
        <w:rPr>
          <w:sz w:val="20"/>
        </w:rPr>
        <w:t>committee;</w:t>
      </w:r>
    </w:p>
    <w:p>
      <w:pPr>
        <w:pStyle w:val="BodyText"/>
        <w:spacing w:before="8"/>
        <w:rPr>
          <w:sz w:val="21"/>
        </w:rPr>
      </w:pPr>
    </w:p>
    <w:p>
      <w:pPr>
        <w:pStyle w:val="ListParagraph"/>
        <w:numPr>
          <w:ilvl w:val="1"/>
          <w:numId w:val="1"/>
        </w:numPr>
        <w:tabs>
          <w:tab w:pos="1560" w:val="left" w:leader="none"/>
          <w:tab w:pos="1561" w:val="left" w:leader="none"/>
        </w:tabs>
        <w:spacing w:line="240" w:lineRule="auto" w:before="0" w:after="0"/>
        <w:ind w:left="1560" w:right="0" w:hanging="721"/>
        <w:jc w:val="left"/>
        <w:rPr>
          <w:rFonts w:ascii="Symbol" w:hAnsi="Symbol"/>
          <w:sz w:val="20"/>
        </w:rPr>
      </w:pPr>
      <w:r>
        <w:rPr>
          <w:sz w:val="20"/>
        </w:rPr>
        <w:t>increasing the number of GSFC Nominees on the KRN</w:t>
      </w:r>
      <w:r>
        <w:rPr>
          <w:spacing w:val="-7"/>
          <w:sz w:val="20"/>
        </w:rPr>
        <w:t> </w:t>
      </w:r>
      <w:r>
        <w:rPr>
          <w:sz w:val="20"/>
        </w:rPr>
        <w:t>Board;</w:t>
      </w:r>
    </w:p>
    <w:p>
      <w:pPr>
        <w:pStyle w:val="BodyText"/>
        <w:spacing w:before="8"/>
        <w:rPr>
          <w:sz w:val="30"/>
        </w:rPr>
      </w:pPr>
    </w:p>
    <w:p>
      <w:pPr>
        <w:pStyle w:val="ListParagraph"/>
        <w:numPr>
          <w:ilvl w:val="1"/>
          <w:numId w:val="1"/>
        </w:numPr>
        <w:tabs>
          <w:tab w:pos="1560" w:val="left" w:leader="none"/>
          <w:tab w:pos="1561" w:val="left" w:leader="none"/>
        </w:tabs>
        <w:spacing w:line="350" w:lineRule="auto" w:before="1" w:after="0"/>
        <w:ind w:left="1560" w:right="1156" w:hanging="721"/>
        <w:jc w:val="both"/>
        <w:rPr>
          <w:rFonts w:ascii="Symbol" w:hAnsi="Symbol"/>
          <w:sz w:val="20"/>
        </w:rPr>
      </w:pPr>
      <w:r>
        <w:rPr>
          <w:sz w:val="20"/>
        </w:rPr>
        <w:t>appointing and/or maintaining a number of GSFC Nominees in excess of the GSFC Nomination</w:t>
      </w:r>
      <w:r>
        <w:rPr>
          <w:spacing w:val="-2"/>
          <w:sz w:val="20"/>
        </w:rPr>
        <w:t> </w:t>
      </w:r>
      <w:r>
        <w:rPr>
          <w:sz w:val="20"/>
        </w:rPr>
        <w:t>Right;</w:t>
      </w:r>
    </w:p>
    <w:p>
      <w:pPr>
        <w:pStyle w:val="BodyText"/>
        <w:spacing w:before="8"/>
        <w:rPr>
          <w:sz w:val="21"/>
        </w:rPr>
      </w:pPr>
    </w:p>
    <w:p>
      <w:pPr>
        <w:pStyle w:val="ListParagraph"/>
        <w:numPr>
          <w:ilvl w:val="1"/>
          <w:numId w:val="1"/>
        </w:numPr>
        <w:tabs>
          <w:tab w:pos="1560" w:val="left" w:leader="none"/>
          <w:tab w:pos="1561" w:val="left" w:leader="none"/>
        </w:tabs>
        <w:spacing w:line="350" w:lineRule="auto" w:before="0" w:after="0"/>
        <w:ind w:left="1560" w:right="1156" w:hanging="721"/>
        <w:jc w:val="both"/>
        <w:rPr>
          <w:rFonts w:ascii="Symbol" w:hAnsi="Symbol"/>
          <w:sz w:val="20"/>
        </w:rPr>
      </w:pPr>
      <w:r>
        <w:rPr>
          <w:sz w:val="20"/>
        </w:rPr>
        <w:t>not using any of the 2019 AGM, the 2020 AGM, or the Special Meeting, to elect a KRN Board with a majority of independent directors;</w:t>
      </w:r>
      <w:r>
        <w:rPr>
          <w:spacing w:val="-8"/>
          <w:sz w:val="20"/>
        </w:rPr>
        <w:t> </w:t>
      </w:r>
      <w:r>
        <w:rPr>
          <w:sz w:val="20"/>
        </w:rPr>
        <w:t>and</w:t>
      </w:r>
    </w:p>
    <w:p>
      <w:pPr>
        <w:pStyle w:val="BodyText"/>
        <w:spacing w:before="8"/>
        <w:rPr>
          <w:sz w:val="21"/>
        </w:rPr>
      </w:pPr>
    </w:p>
    <w:p>
      <w:pPr>
        <w:pStyle w:val="ListParagraph"/>
        <w:numPr>
          <w:ilvl w:val="1"/>
          <w:numId w:val="1"/>
        </w:numPr>
        <w:tabs>
          <w:tab w:pos="1560" w:val="left" w:leader="none"/>
          <w:tab w:pos="1561" w:val="left" w:leader="none"/>
        </w:tabs>
        <w:spacing w:line="350" w:lineRule="auto" w:before="0" w:after="0"/>
        <w:ind w:left="1560" w:right="1158" w:hanging="720"/>
        <w:jc w:val="both"/>
        <w:rPr>
          <w:rFonts w:ascii="Symbol" w:hAnsi="Symbol"/>
          <w:sz w:val="20"/>
        </w:rPr>
      </w:pPr>
      <w:r>
        <w:rPr>
          <w:sz w:val="20"/>
        </w:rPr>
        <w:t>misrepresenting to the Canadian capital markets and the TSX as to the independence of the GSFC</w:t>
      </w:r>
      <w:r>
        <w:rPr>
          <w:spacing w:val="-2"/>
          <w:sz w:val="20"/>
        </w:rPr>
        <w:t> </w:t>
      </w:r>
      <w:r>
        <w:rPr>
          <w:sz w:val="20"/>
        </w:rPr>
        <w:t>Nominees.</w:t>
      </w:r>
    </w:p>
    <w:p>
      <w:pPr>
        <w:spacing w:after="0" w:line="350" w:lineRule="auto"/>
        <w:jc w:val="both"/>
        <w:rPr>
          <w:rFonts w:ascii="Symbol" w:hAnsi="Symbol"/>
          <w:sz w:val="20"/>
        </w:rPr>
        <w:sectPr>
          <w:pgSz w:w="12240" w:h="15840"/>
          <w:pgMar w:header="0" w:footer="1259" w:top="1220" w:bottom="1440" w:left="1320" w:right="280"/>
        </w:sectPr>
      </w:pPr>
    </w:p>
    <w:p>
      <w:pPr>
        <w:pStyle w:val="Heading1"/>
        <w:spacing w:before="75"/>
        <w:ind w:left="120" w:firstLine="0"/>
      </w:pPr>
      <w:r>
        <w:rPr/>
        <w:t>Management of KRN</w:t>
      </w:r>
    </w:p>
    <w:p>
      <w:pPr>
        <w:pStyle w:val="BodyText"/>
        <w:spacing w:before="10"/>
        <w:rPr>
          <w:b/>
          <w:sz w:val="30"/>
        </w:rPr>
      </w:pPr>
    </w:p>
    <w:p>
      <w:pPr>
        <w:pStyle w:val="ListParagraph"/>
        <w:numPr>
          <w:ilvl w:val="0"/>
          <w:numId w:val="7"/>
        </w:numPr>
        <w:tabs>
          <w:tab w:pos="839" w:val="left" w:leader="none"/>
          <w:tab w:pos="841" w:val="left" w:leader="none"/>
        </w:tabs>
        <w:spacing w:line="240" w:lineRule="auto" w:before="0" w:after="0"/>
        <w:ind w:left="840" w:right="0" w:hanging="721"/>
        <w:jc w:val="left"/>
        <w:rPr>
          <w:sz w:val="20"/>
        </w:rPr>
      </w:pPr>
      <w:r>
        <w:rPr>
          <w:sz w:val="20"/>
          <w:u w:val="single"/>
        </w:rPr>
        <w:t>My Hiring as the</w:t>
      </w:r>
      <w:r>
        <w:rPr>
          <w:spacing w:val="-3"/>
          <w:sz w:val="20"/>
          <w:u w:val="single"/>
        </w:rPr>
        <w:t> </w:t>
      </w:r>
      <w:r>
        <w:rPr>
          <w:sz w:val="20"/>
          <w:u w:val="single"/>
        </w:rPr>
        <w:t>President</w:t>
      </w:r>
    </w:p>
    <w:p>
      <w:pPr>
        <w:pStyle w:val="BodyText"/>
        <w:spacing w:before="8"/>
        <w:rPr>
          <w:sz w:val="22"/>
        </w:rPr>
      </w:pPr>
    </w:p>
    <w:p>
      <w:pPr>
        <w:pStyle w:val="ListParagraph"/>
        <w:numPr>
          <w:ilvl w:val="0"/>
          <w:numId w:val="1"/>
        </w:numPr>
        <w:tabs>
          <w:tab w:pos="841" w:val="left" w:leader="none"/>
        </w:tabs>
        <w:spacing w:line="360" w:lineRule="auto" w:before="94" w:after="0"/>
        <w:ind w:left="840" w:right="1156" w:hanging="721"/>
        <w:jc w:val="both"/>
        <w:rPr>
          <w:sz w:val="20"/>
        </w:rPr>
      </w:pPr>
      <w:r>
        <w:rPr>
          <w:sz w:val="20"/>
        </w:rPr>
        <w:t>On</w:t>
      </w:r>
      <w:r>
        <w:rPr>
          <w:spacing w:val="-6"/>
          <w:sz w:val="20"/>
        </w:rPr>
        <w:t> </w:t>
      </w:r>
      <w:r>
        <w:rPr>
          <w:sz w:val="20"/>
        </w:rPr>
        <w:t>February</w:t>
      </w:r>
      <w:r>
        <w:rPr>
          <w:spacing w:val="-6"/>
          <w:sz w:val="20"/>
        </w:rPr>
        <w:t> </w:t>
      </w:r>
      <w:r>
        <w:rPr>
          <w:sz w:val="20"/>
        </w:rPr>
        <w:t>5,</w:t>
      </w:r>
      <w:r>
        <w:rPr>
          <w:spacing w:val="-6"/>
          <w:sz w:val="20"/>
        </w:rPr>
        <w:t> </w:t>
      </w:r>
      <w:r>
        <w:rPr>
          <w:sz w:val="20"/>
        </w:rPr>
        <w:t>2018,</w:t>
      </w:r>
      <w:r>
        <w:rPr>
          <w:spacing w:val="-6"/>
          <w:sz w:val="20"/>
        </w:rPr>
        <w:t> </w:t>
      </w:r>
      <w:r>
        <w:rPr>
          <w:sz w:val="20"/>
        </w:rPr>
        <w:t>I</w:t>
      </w:r>
      <w:r>
        <w:rPr>
          <w:spacing w:val="-7"/>
          <w:sz w:val="20"/>
        </w:rPr>
        <w:t> </w:t>
      </w:r>
      <w:r>
        <w:rPr>
          <w:sz w:val="20"/>
        </w:rPr>
        <w:t>was</w:t>
      </w:r>
      <w:r>
        <w:rPr>
          <w:spacing w:val="-5"/>
          <w:sz w:val="20"/>
        </w:rPr>
        <w:t> </w:t>
      </w:r>
      <w:r>
        <w:rPr>
          <w:sz w:val="20"/>
        </w:rPr>
        <w:t>hired</w:t>
      </w:r>
      <w:r>
        <w:rPr>
          <w:spacing w:val="-7"/>
          <w:sz w:val="20"/>
        </w:rPr>
        <w:t> </w:t>
      </w:r>
      <w:r>
        <w:rPr>
          <w:sz w:val="20"/>
        </w:rPr>
        <w:t>as</w:t>
      </w:r>
      <w:r>
        <w:rPr>
          <w:spacing w:val="-6"/>
          <w:sz w:val="20"/>
        </w:rPr>
        <w:t> </w:t>
      </w:r>
      <w:r>
        <w:rPr>
          <w:sz w:val="20"/>
        </w:rPr>
        <w:t>President</w:t>
      </w:r>
      <w:r>
        <w:rPr>
          <w:spacing w:val="-6"/>
          <w:sz w:val="20"/>
        </w:rPr>
        <w:t> </w:t>
      </w:r>
      <w:r>
        <w:rPr>
          <w:sz w:val="20"/>
        </w:rPr>
        <w:t>on</w:t>
      </w:r>
      <w:r>
        <w:rPr>
          <w:spacing w:val="-6"/>
          <w:sz w:val="20"/>
        </w:rPr>
        <w:t> </w:t>
      </w:r>
      <w:r>
        <w:rPr>
          <w:sz w:val="20"/>
        </w:rPr>
        <w:t>a</w:t>
      </w:r>
      <w:r>
        <w:rPr>
          <w:spacing w:val="-5"/>
          <w:sz w:val="20"/>
        </w:rPr>
        <w:t> </w:t>
      </w:r>
      <w:r>
        <w:rPr>
          <w:sz w:val="20"/>
        </w:rPr>
        <w:t>one-year</w:t>
      </w:r>
      <w:r>
        <w:rPr>
          <w:spacing w:val="-6"/>
          <w:sz w:val="20"/>
        </w:rPr>
        <w:t> </w:t>
      </w:r>
      <w:r>
        <w:rPr>
          <w:sz w:val="20"/>
        </w:rPr>
        <w:t>contract,</w:t>
      </w:r>
      <w:r>
        <w:rPr>
          <w:spacing w:val="-7"/>
          <w:sz w:val="20"/>
        </w:rPr>
        <w:t> </w:t>
      </w:r>
      <w:r>
        <w:rPr>
          <w:sz w:val="20"/>
        </w:rPr>
        <w:t>with</w:t>
      </w:r>
      <w:r>
        <w:rPr>
          <w:spacing w:val="-6"/>
          <w:sz w:val="20"/>
        </w:rPr>
        <w:t> </w:t>
      </w:r>
      <w:r>
        <w:rPr>
          <w:sz w:val="20"/>
        </w:rPr>
        <w:t>a</w:t>
      </w:r>
      <w:r>
        <w:rPr>
          <w:spacing w:val="-6"/>
          <w:sz w:val="20"/>
        </w:rPr>
        <w:t> </w:t>
      </w:r>
      <w:r>
        <w:rPr>
          <w:sz w:val="20"/>
        </w:rPr>
        <w:t>view</w:t>
      </w:r>
      <w:r>
        <w:rPr>
          <w:spacing w:val="-5"/>
          <w:sz w:val="20"/>
        </w:rPr>
        <w:t> </w:t>
      </w:r>
      <w:r>
        <w:rPr>
          <w:sz w:val="20"/>
        </w:rPr>
        <w:t>to</w:t>
      </w:r>
      <w:r>
        <w:rPr>
          <w:spacing w:val="-5"/>
          <w:sz w:val="20"/>
        </w:rPr>
        <w:t> </w:t>
      </w:r>
      <w:r>
        <w:rPr>
          <w:sz w:val="20"/>
        </w:rPr>
        <w:t>me</w:t>
      </w:r>
      <w:r>
        <w:rPr>
          <w:spacing w:val="-5"/>
          <w:sz w:val="20"/>
        </w:rPr>
        <w:t> </w:t>
      </w:r>
      <w:r>
        <w:rPr>
          <w:sz w:val="20"/>
        </w:rPr>
        <w:t>becoming the permanent CEO after one year. Attached and marked as </w:t>
      </w:r>
      <w:r>
        <w:rPr>
          <w:b/>
          <w:sz w:val="20"/>
        </w:rPr>
        <w:t>Exhibit “V” </w:t>
      </w:r>
      <w:r>
        <w:rPr>
          <w:sz w:val="20"/>
        </w:rPr>
        <w:t>to the FDW Affidavit is a copy of page 25 of the SBI presentation. Attached and marked as </w:t>
      </w:r>
      <w:r>
        <w:rPr>
          <w:b/>
          <w:sz w:val="20"/>
        </w:rPr>
        <w:t>Exhibit “W” </w:t>
      </w:r>
      <w:r>
        <w:rPr>
          <w:sz w:val="20"/>
        </w:rPr>
        <w:t>to the FDW Affidavit is a copy of executive search advertisment for the CEO position of</w:t>
      </w:r>
      <w:r>
        <w:rPr>
          <w:spacing w:val="-19"/>
          <w:sz w:val="20"/>
        </w:rPr>
        <w:t> </w:t>
      </w:r>
      <w:r>
        <w:rPr>
          <w:sz w:val="20"/>
        </w:rPr>
        <w:t>KRN.</w:t>
      </w:r>
    </w:p>
    <w:p>
      <w:pPr>
        <w:pStyle w:val="BodyText"/>
        <w:spacing w:before="10"/>
      </w:pPr>
    </w:p>
    <w:p>
      <w:pPr>
        <w:pStyle w:val="ListParagraph"/>
        <w:numPr>
          <w:ilvl w:val="0"/>
          <w:numId w:val="7"/>
        </w:numPr>
        <w:tabs>
          <w:tab w:pos="839" w:val="left" w:leader="none"/>
          <w:tab w:pos="841" w:val="left" w:leader="none"/>
        </w:tabs>
        <w:spacing w:line="240" w:lineRule="auto" w:before="1" w:after="0"/>
        <w:ind w:left="840" w:right="0" w:hanging="721"/>
        <w:jc w:val="left"/>
        <w:rPr>
          <w:sz w:val="20"/>
        </w:rPr>
      </w:pPr>
      <w:r>
        <w:rPr>
          <w:sz w:val="20"/>
          <w:u w:val="single"/>
        </w:rPr>
        <w:t>Creation of Nitrogen</w:t>
      </w:r>
      <w:r>
        <w:rPr>
          <w:spacing w:val="-4"/>
          <w:sz w:val="20"/>
          <w:u w:val="single"/>
        </w:rPr>
        <w:t> </w:t>
      </w:r>
      <w:r>
        <w:rPr>
          <w:sz w:val="20"/>
          <w:u w:val="single"/>
        </w:rPr>
        <w:t>Strategy</w:t>
      </w:r>
    </w:p>
    <w:p>
      <w:pPr>
        <w:pStyle w:val="BodyText"/>
        <w:spacing w:before="7"/>
        <w:rPr>
          <w:sz w:val="22"/>
        </w:rPr>
      </w:pPr>
    </w:p>
    <w:p>
      <w:pPr>
        <w:pStyle w:val="ListParagraph"/>
        <w:numPr>
          <w:ilvl w:val="0"/>
          <w:numId w:val="1"/>
        </w:numPr>
        <w:tabs>
          <w:tab w:pos="841" w:val="left" w:leader="none"/>
        </w:tabs>
        <w:spacing w:line="360" w:lineRule="auto" w:before="94" w:after="0"/>
        <w:ind w:left="839" w:right="1156" w:hanging="720"/>
        <w:jc w:val="both"/>
        <w:rPr>
          <w:sz w:val="20"/>
        </w:rPr>
      </w:pPr>
      <w:r>
        <w:rPr>
          <w:sz w:val="20"/>
        </w:rPr>
        <w:t>In February 2018, the Potash Project was uneconomic due to global potash prices. The Potash Project was KRN’s only asset at the</w:t>
      </w:r>
      <w:r>
        <w:rPr>
          <w:spacing w:val="-5"/>
          <w:sz w:val="20"/>
        </w:rPr>
        <w:t> </w:t>
      </w:r>
      <w:r>
        <w:rPr>
          <w:sz w:val="20"/>
        </w:rPr>
        <w:t>time.</w:t>
      </w:r>
    </w:p>
    <w:p>
      <w:pPr>
        <w:pStyle w:val="BodyText"/>
        <w:spacing w:before="10"/>
      </w:pPr>
    </w:p>
    <w:p>
      <w:pPr>
        <w:pStyle w:val="ListParagraph"/>
        <w:numPr>
          <w:ilvl w:val="0"/>
          <w:numId w:val="1"/>
        </w:numPr>
        <w:tabs>
          <w:tab w:pos="840" w:val="left" w:leader="none"/>
        </w:tabs>
        <w:spacing w:line="360" w:lineRule="auto" w:before="0" w:after="0"/>
        <w:ind w:left="839" w:right="1157" w:hanging="721"/>
        <w:jc w:val="both"/>
        <w:rPr>
          <w:sz w:val="20"/>
        </w:rPr>
      </w:pPr>
      <w:r>
        <w:rPr>
          <w:sz w:val="20"/>
        </w:rPr>
        <w:t>The Nitrogen Project was an idea for a profitable business that KRN could pursue while it waited for the Potash Project to become</w:t>
      </w:r>
      <w:r>
        <w:rPr>
          <w:spacing w:val="-7"/>
          <w:sz w:val="20"/>
        </w:rPr>
        <w:t> </w:t>
      </w:r>
      <w:r>
        <w:rPr>
          <w:sz w:val="20"/>
        </w:rPr>
        <w:t>economic.</w:t>
      </w:r>
    </w:p>
    <w:p>
      <w:pPr>
        <w:pStyle w:val="BodyText"/>
        <w:spacing w:before="10"/>
      </w:pPr>
    </w:p>
    <w:p>
      <w:pPr>
        <w:pStyle w:val="ListParagraph"/>
        <w:numPr>
          <w:ilvl w:val="0"/>
          <w:numId w:val="1"/>
        </w:numPr>
        <w:tabs>
          <w:tab w:pos="840" w:val="left" w:leader="none"/>
        </w:tabs>
        <w:spacing w:line="360" w:lineRule="auto" w:before="0" w:after="0"/>
        <w:ind w:left="839" w:right="1156" w:hanging="720"/>
        <w:jc w:val="both"/>
        <w:rPr>
          <w:sz w:val="20"/>
        </w:rPr>
      </w:pPr>
      <w:r>
        <w:rPr>
          <w:sz w:val="20"/>
        </w:rPr>
        <w:t>The Nitrogen Project was Rowan’s idea. I took Rowan’s idea, conducted a fatal flaw analysis, created a corporate strategy, a complete development program, including work programs, milestones,</w:t>
      </w:r>
      <w:r>
        <w:rPr>
          <w:spacing w:val="-9"/>
          <w:sz w:val="20"/>
        </w:rPr>
        <w:t> </w:t>
      </w:r>
      <w:r>
        <w:rPr>
          <w:sz w:val="20"/>
        </w:rPr>
        <w:t>and</w:t>
      </w:r>
      <w:r>
        <w:rPr>
          <w:spacing w:val="-8"/>
          <w:sz w:val="20"/>
        </w:rPr>
        <w:t> </w:t>
      </w:r>
      <w:r>
        <w:rPr>
          <w:sz w:val="20"/>
        </w:rPr>
        <w:t>budgets,</w:t>
      </w:r>
      <w:r>
        <w:rPr>
          <w:spacing w:val="-8"/>
          <w:sz w:val="20"/>
        </w:rPr>
        <w:t> </w:t>
      </w:r>
      <w:r>
        <w:rPr>
          <w:sz w:val="20"/>
        </w:rPr>
        <w:t>to</w:t>
      </w:r>
      <w:r>
        <w:rPr>
          <w:spacing w:val="-8"/>
          <w:sz w:val="20"/>
        </w:rPr>
        <w:t> </w:t>
      </w:r>
      <w:r>
        <w:rPr>
          <w:sz w:val="20"/>
        </w:rPr>
        <w:t>pursue</w:t>
      </w:r>
      <w:r>
        <w:rPr>
          <w:spacing w:val="-8"/>
          <w:sz w:val="20"/>
        </w:rPr>
        <w:t> </w:t>
      </w:r>
      <w:r>
        <w:rPr>
          <w:sz w:val="20"/>
        </w:rPr>
        <w:t>the</w:t>
      </w:r>
      <w:r>
        <w:rPr>
          <w:spacing w:val="-8"/>
          <w:sz w:val="20"/>
        </w:rPr>
        <w:t> </w:t>
      </w:r>
      <w:r>
        <w:rPr>
          <w:sz w:val="20"/>
        </w:rPr>
        <w:t>Nitrogen</w:t>
      </w:r>
      <w:r>
        <w:rPr>
          <w:spacing w:val="-9"/>
          <w:sz w:val="20"/>
        </w:rPr>
        <w:t> </w:t>
      </w:r>
      <w:r>
        <w:rPr>
          <w:sz w:val="20"/>
        </w:rPr>
        <w:t>Project,</w:t>
      </w:r>
      <w:r>
        <w:rPr>
          <w:spacing w:val="-8"/>
          <w:sz w:val="20"/>
        </w:rPr>
        <w:t> </w:t>
      </w:r>
      <w:r>
        <w:rPr>
          <w:sz w:val="20"/>
        </w:rPr>
        <w:t>and</w:t>
      </w:r>
      <w:r>
        <w:rPr>
          <w:spacing w:val="-8"/>
          <w:sz w:val="20"/>
        </w:rPr>
        <w:t> </w:t>
      </w:r>
      <w:r>
        <w:rPr>
          <w:sz w:val="20"/>
        </w:rPr>
        <w:t>presented</w:t>
      </w:r>
      <w:r>
        <w:rPr>
          <w:spacing w:val="-8"/>
          <w:sz w:val="20"/>
        </w:rPr>
        <w:t> </w:t>
      </w:r>
      <w:r>
        <w:rPr>
          <w:sz w:val="20"/>
        </w:rPr>
        <w:t>it</w:t>
      </w:r>
      <w:r>
        <w:rPr>
          <w:spacing w:val="-9"/>
          <w:sz w:val="20"/>
        </w:rPr>
        <w:t> </w:t>
      </w:r>
      <w:r>
        <w:rPr>
          <w:sz w:val="20"/>
        </w:rPr>
        <w:t>KRN</w:t>
      </w:r>
      <w:r>
        <w:rPr>
          <w:spacing w:val="-6"/>
          <w:sz w:val="20"/>
        </w:rPr>
        <w:t> </w:t>
      </w:r>
      <w:r>
        <w:rPr>
          <w:sz w:val="20"/>
        </w:rPr>
        <w:t>Board</w:t>
      </w:r>
      <w:r>
        <w:rPr>
          <w:spacing w:val="-9"/>
          <w:sz w:val="20"/>
        </w:rPr>
        <w:t> </w:t>
      </w:r>
      <w:r>
        <w:rPr>
          <w:sz w:val="20"/>
        </w:rPr>
        <w:t>for</w:t>
      </w:r>
      <w:r>
        <w:rPr>
          <w:spacing w:val="-7"/>
          <w:sz w:val="20"/>
        </w:rPr>
        <w:t> </w:t>
      </w:r>
      <w:r>
        <w:rPr>
          <w:sz w:val="20"/>
        </w:rPr>
        <w:t>approval. Once approved, the strategy was released to the Canadian capital markets. Attached and marked as </w:t>
      </w:r>
      <w:r>
        <w:rPr>
          <w:b/>
          <w:sz w:val="20"/>
        </w:rPr>
        <w:t>Exhibit “DDD” </w:t>
      </w:r>
      <w:r>
        <w:rPr>
          <w:sz w:val="20"/>
        </w:rPr>
        <w:t>to the FDW Affidavit is a copy of the Karnalyte press release of May 14,</w:t>
      </w:r>
      <w:r>
        <w:rPr>
          <w:spacing w:val="-32"/>
          <w:sz w:val="20"/>
        </w:rPr>
        <w:t> </w:t>
      </w:r>
      <w:r>
        <w:rPr>
          <w:sz w:val="20"/>
        </w:rPr>
        <w:t>2018.</w:t>
      </w:r>
    </w:p>
    <w:p>
      <w:pPr>
        <w:pStyle w:val="BodyText"/>
        <w:rPr>
          <w:sz w:val="21"/>
        </w:rPr>
      </w:pPr>
    </w:p>
    <w:p>
      <w:pPr>
        <w:pStyle w:val="ListParagraph"/>
        <w:numPr>
          <w:ilvl w:val="0"/>
          <w:numId w:val="1"/>
        </w:numPr>
        <w:tabs>
          <w:tab w:pos="841" w:val="left" w:leader="none"/>
        </w:tabs>
        <w:spacing w:line="360" w:lineRule="auto" w:before="0" w:after="0"/>
        <w:ind w:left="839" w:right="1156" w:hanging="720"/>
        <w:jc w:val="both"/>
        <w:rPr>
          <w:sz w:val="20"/>
        </w:rPr>
      </w:pPr>
      <w:r>
        <w:rPr>
          <w:sz w:val="20"/>
        </w:rPr>
        <w:t>After</w:t>
      </w:r>
      <w:r>
        <w:rPr>
          <w:spacing w:val="-3"/>
          <w:sz w:val="20"/>
        </w:rPr>
        <w:t> </w:t>
      </w:r>
      <w:r>
        <w:rPr>
          <w:sz w:val="20"/>
        </w:rPr>
        <w:t>Rowan</w:t>
      </w:r>
      <w:r>
        <w:rPr>
          <w:spacing w:val="-3"/>
          <w:sz w:val="20"/>
        </w:rPr>
        <w:t> </w:t>
      </w:r>
      <w:r>
        <w:rPr>
          <w:sz w:val="20"/>
        </w:rPr>
        <w:t>and</w:t>
      </w:r>
      <w:r>
        <w:rPr>
          <w:spacing w:val="-2"/>
          <w:sz w:val="20"/>
        </w:rPr>
        <w:t> </w:t>
      </w:r>
      <w:r>
        <w:rPr>
          <w:sz w:val="20"/>
        </w:rPr>
        <w:t>I</w:t>
      </w:r>
      <w:r>
        <w:rPr>
          <w:spacing w:val="-2"/>
          <w:sz w:val="20"/>
        </w:rPr>
        <w:t> </w:t>
      </w:r>
      <w:r>
        <w:rPr>
          <w:sz w:val="20"/>
        </w:rPr>
        <w:t>met</w:t>
      </w:r>
      <w:r>
        <w:rPr>
          <w:spacing w:val="-2"/>
          <w:sz w:val="20"/>
        </w:rPr>
        <w:t> </w:t>
      </w:r>
      <w:r>
        <w:rPr>
          <w:sz w:val="20"/>
        </w:rPr>
        <w:t>Mr.</w:t>
      </w:r>
      <w:r>
        <w:rPr>
          <w:spacing w:val="-3"/>
          <w:sz w:val="20"/>
        </w:rPr>
        <w:t> </w:t>
      </w:r>
      <w:r>
        <w:rPr>
          <w:sz w:val="20"/>
        </w:rPr>
        <w:t>Tiwari,</w:t>
      </w:r>
      <w:r>
        <w:rPr>
          <w:spacing w:val="-2"/>
          <w:sz w:val="20"/>
        </w:rPr>
        <w:t> </w:t>
      </w:r>
      <w:r>
        <w:rPr>
          <w:sz w:val="20"/>
        </w:rPr>
        <w:t>the</w:t>
      </w:r>
      <w:r>
        <w:rPr>
          <w:spacing w:val="-2"/>
          <w:sz w:val="20"/>
        </w:rPr>
        <w:t> </w:t>
      </w:r>
      <w:r>
        <w:rPr>
          <w:sz w:val="20"/>
        </w:rPr>
        <w:t>GSFC</w:t>
      </w:r>
      <w:r>
        <w:rPr>
          <w:spacing w:val="-1"/>
          <w:sz w:val="20"/>
        </w:rPr>
        <w:t> </w:t>
      </w:r>
      <w:r>
        <w:rPr>
          <w:sz w:val="20"/>
        </w:rPr>
        <w:t>MD</w:t>
      </w:r>
      <w:r>
        <w:rPr>
          <w:spacing w:val="-1"/>
          <w:sz w:val="20"/>
        </w:rPr>
        <w:t> </w:t>
      </w:r>
      <w:r>
        <w:rPr>
          <w:sz w:val="20"/>
        </w:rPr>
        <w:t>at</w:t>
      </w:r>
      <w:r>
        <w:rPr>
          <w:spacing w:val="-3"/>
          <w:sz w:val="20"/>
        </w:rPr>
        <w:t> </w:t>
      </w:r>
      <w:r>
        <w:rPr>
          <w:sz w:val="20"/>
        </w:rPr>
        <w:t>the</w:t>
      </w:r>
      <w:r>
        <w:rPr>
          <w:spacing w:val="-2"/>
          <w:sz w:val="20"/>
        </w:rPr>
        <w:t> </w:t>
      </w:r>
      <w:r>
        <w:rPr>
          <w:sz w:val="20"/>
        </w:rPr>
        <w:t>time,</w:t>
      </w:r>
      <w:r>
        <w:rPr>
          <w:spacing w:val="-2"/>
          <w:sz w:val="20"/>
        </w:rPr>
        <w:t> </w:t>
      </w:r>
      <w:r>
        <w:rPr>
          <w:sz w:val="20"/>
        </w:rPr>
        <w:t>he</w:t>
      </w:r>
      <w:r>
        <w:rPr>
          <w:spacing w:val="-3"/>
          <w:sz w:val="20"/>
        </w:rPr>
        <w:t> </w:t>
      </w:r>
      <w:r>
        <w:rPr>
          <w:sz w:val="20"/>
        </w:rPr>
        <w:t>wrote</w:t>
      </w:r>
      <w:r>
        <w:rPr>
          <w:spacing w:val="-2"/>
          <w:sz w:val="20"/>
        </w:rPr>
        <w:t> </w:t>
      </w:r>
      <w:r>
        <w:rPr>
          <w:sz w:val="20"/>
        </w:rPr>
        <w:t>a</w:t>
      </w:r>
      <w:r>
        <w:rPr>
          <w:spacing w:val="-2"/>
          <w:sz w:val="20"/>
        </w:rPr>
        <w:t> </w:t>
      </w:r>
      <w:r>
        <w:rPr>
          <w:sz w:val="20"/>
        </w:rPr>
        <w:t>letter</w:t>
      </w:r>
      <w:r>
        <w:rPr>
          <w:spacing w:val="-4"/>
          <w:sz w:val="20"/>
        </w:rPr>
        <w:t> </w:t>
      </w:r>
      <w:r>
        <w:rPr>
          <w:sz w:val="20"/>
        </w:rPr>
        <w:t>dated</w:t>
      </w:r>
      <w:r>
        <w:rPr>
          <w:spacing w:val="-2"/>
          <w:sz w:val="20"/>
        </w:rPr>
        <w:t> </w:t>
      </w:r>
      <w:r>
        <w:rPr>
          <w:sz w:val="20"/>
        </w:rPr>
        <w:t>May</w:t>
      </w:r>
      <w:r>
        <w:rPr>
          <w:spacing w:val="-1"/>
          <w:sz w:val="20"/>
        </w:rPr>
        <w:t> </w:t>
      </w:r>
      <w:r>
        <w:rPr>
          <w:sz w:val="20"/>
        </w:rPr>
        <w:t>29,</w:t>
      </w:r>
      <w:r>
        <w:rPr>
          <w:spacing w:val="-2"/>
          <w:sz w:val="20"/>
        </w:rPr>
        <w:t> </w:t>
      </w:r>
      <w:r>
        <w:rPr>
          <w:sz w:val="20"/>
        </w:rPr>
        <w:t>2018 (the “</w:t>
      </w:r>
      <w:r>
        <w:rPr>
          <w:b/>
          <w:sz w:val="20"/>
        </w:rPr>
        <w:t>Tiwari Letter</w:t>
      </w:r>
      <w:r>
        <w:rPr>
          <w:sz w:val="20"/>
        </w:rPr>
        <w:t>”) to KRN in full support of the Nitrogen Project. KRN released the Tiwari Letter to the Canadian capital markets. Attached and marked as </w:t>
      </w:r>
      <w:r>
        <w:rPr>
          <w:b/>
          <w:sz w:val="20"/>
        </w:rPr>
        <w:t>Exhibit “Y” </w:t>
      </w:r>
      <w:r>
        <w:rPr>
          <w:sz w:val="20"/>
        </w:rPr>
        <w:t>to the FDW Affidavit is a copy of the Tiwari</w:t>
      </w:r>
      <w:r>
        <w:rPr>
          <w:spacing w:val="-4"/>
          <w:sz w:val="20"/>
        </w:rPr>
        <w:t> </w:t>
      </w:r>
      <w:r>
        <w:rPr>
          <w:sz w:val="20"/>
        </w:rPr>
        <w:t>Letter.</w:t>
      </w:r>
    </w:p>
    <w:p>
      <w:pPr>
        <w:pStyle w:val="BodyText"/>
        <w:spacing w:before="10"/>
      </w:pPr>
    </w:p>
    <w:p>
      <w:pPr>
        <w:pStyle w:val="ListParagraph"/>
        <w:numPr>
          <w:ilvl w:val="0"/>
          <w:numId w:val="1"/>
        </w:numPr>
        <w:tabs>
          <w:tab w:pos="840" w:val="left" w:leader="none"/>
        </w:tabs>
        <w:spacing w:line="360" w:lineRule="auto" w:before="0" w:after="0"/>
        <w:ind w:left="839" w:right="1156" w:hanging="721"/>
        <w:jc w:val="both"/>
        <w:rPr>
          <w:sz w:val="20"/>
        </w:rPr>
      </w:pPr>
      <w:r>
        <w:rPr>
          <w:sz w:val="20"/>
        </w:rPr>
        <w:t>Within six (6) weeks of presenting Karnalyte’s strategy for the Nitrogen Project to the Canadian capital markets, I received an unsolicited inquiry from a large, private Canadian agriculture company (the “</w:t>
      </w:r>
      <w:r>
        <w:rPr>
          <w:b/>
          <w:sz w:val="20"/>
        </w:rPr>
        <w:t>AgCo</w:t>
      </w:r>
      <w:r>
        <w:rPr>
          <w:sz w:val="20"/>
        </w:rPr>
        <w:t>”) expressing a serious interest in participating in the Nitrogen</w:t>
      </w:r>
      <w:r>
        <w:rPr>
          <w:spacing w:val="-23"/>
          <w:sz w:val="20"/>
        </w:rPr>
        <w:t> </w:t>
      </w:r>
      <w:r>
        <w:rPr>
          <w:sz w:val="20"/>
        </w:rPr>
        <w:t>Project.</w:t>
      </w:r>
    </w:p>
    <w:p>
      <w:pPr>
        <w:pStyle w:val="BodyText"/>
        <w:spacing w:before="9"/>
      </w:pPr>
    </w:p>
    <w:p>
      <w:pPr>
        <w:pStyle w:val="Heading1"/>
        <w:numPr>
          <w:ilvl w:val="0"/>
          <w:numId w:val="7"/>
        </w:numPr>
        <w:tabs>
          <w:tab w:pos="839" w:val="left" w:leader="none"/>
          <w:tab w:pos="841" w:val="left" w:leader="none"/>
        </w:tabs>
        <w:spacing w:line="240" w:lineRule="auto" w:before="0" w:after="0"/>
        <w:ind w:left="840" w:right="0" w:hanging="721"/>
        <w:jc w:val="left"/>
      </w:pPr>
      <w:r>
        <w:rPr>
          <w:u w:val="thick"/>
        </w:rPr>
        <w:t>Perfect alignment on</w:t>
      </w:r>
      <w:r>
        <w:rPr>
          <w:spacing w:val="-2"/>
          <w:u w:val="thick"/>
        </w:rPr>
        <w:t> </w:t>
      </w:r>
      <w:r>
        <w:rPr>
          <w:u w:val="thick"/>
        </w:rPr>
        <w:t>Strategy</w:t>
      </w:r>
    </w:p>
    <w:p>
      <w:pPr>
        <w:pStyle w:val="BodyText"/>
        <w:spacing w:before="7"/>
        <w:rPr>
          <w:b/>
          <w:sz w:val="22"/>
        </w:rPr>
      </w:pPr>
    </w:p>
    <w:p>
      <w:pPr>
        <w:pStyle w:val="ListParagraph"/>
        <w:numPr>
          <w:ilvl w:val="0"/>
          <w:numId w:val="1"/>
        </w:numPr>
        <w:tabs>
          <w:tab w:pos="839" w:val="left" w:leader="none"/>
          <w:tab w:pos="841" w:val="left" w:leader="none"/>
        </w:tabs>
        <w:spacing w:line="360" w:lineRule="auto" w:before="94" w:after="0"/>
        <w:ind w:left="840" w:right="1158" w:hanging="721"/>
        <w:jc w:val="left"/>
        <w:rPr>
          <w:sz w:val="20"/>
        </w:rPr>
      </w:pPr>
      <w:r>
        <w:rPr>
          <w:sz w:val="20"/>
        </w:rPr>
        <w:t>All parties, including KRN, GSFC and the AgCo were in perfect alignment with the strategy for the Nitrogen</w:t>
      </w:r>
      <w:r>
        <w:rPr>
          <w:spacing w:val="-2"/>
          <w:sz w:val="20"/>
        </w:rPr>
        <w:t> </w:t>
      </w:r>
      <w:r>
        <w:rPr>
          <w:sz w:val="20"/>
        </w:rPr>
        <w:t>Project.</w:t>
      </w:r>
    </w:p>
    <w:p>
      <w:pPr>
        <w:spacing w:after="0" w:line="360" w:lineRule="auto"/>
        <w:jc w:val="left"/>
        <w:rPr>
          <w:sz w:val="20"/>
        </w:rPr>
        <w:sectPr>
          <w:footerReference w:type="default" r:id="rId14"/>
          <w:pgSz w:w="12240" w:h="15840"/>
          <w:pgMar w:footer="1259" w:header="0" w:top="1220" w:bottom="1440" w:left="1320" w:right="280"/>
          <w:pgNumType w:start="19"/>
        </w:sectPr>
      </w:pPr>
    </w:p>
    <w:p>
      <w:pPr>
        <w:pStyle w:val="Heading1"/>
        <w:numPr>
          <w:ilvl w:val="0"/>
          <w:numId w:val="7"/>
        </w:numPr>
        <w:tabs>
          <w:tab w:pos="839" w:val="left" w:leader="none"/>
          <w:tab w:pos="841" w:val="left" w:leader="none"/>
        </w:tabs>
        <w:spacing w:line="240" w:lineRule="auto" w:before="75" w:after="0"/>
        <w:ind w:left="840" w:right="0" w:hanging="721"/>
        <w:jc w:val="left"/>
      </w:pPr>
      <w:r>
        <w:rPr>
          <w:u w:val="thick"/>
        </w:rPr>
        <w:t>First Six Months on the</w:t>
      </w:r>
      <w:r>
        <w:rPr>
          <w:spacing w:val="-5"/>
          <w:u w:val="thick"/>
        </w:rPr>
        <w:t> </w:t>
      </w:r>
      <w:r>
        <w:rPr>
          <w:u w:val="thick"/>
        </w:rPr>
        <w:t>Job</w:t>
      </w:r>
    </w:p>
    <w:p>
      <w:pPr>
        <w:pStyle w:val="BodyText"/>
        <w:spacing w:before="8"/>
        <w:rPr>
          <w:b/>
          <w:sz w:val="22"/>
        </w:rPr>
      </w:pPr>
    </w:p>
    <w:p>
      <w:pPr>
        <w:pStyle w:val="ListParagraph"/>
        <w:numPr>
          <w:ilvl w:val="0"/>
          <w:numId w:val="1"/>
        </w:numPr>
        <w:tabs>
          <w:tab w:pos="839" w:val="left" w:leader="none"/>
          <w:tab w:pos="841" w:val="left" w:leader="none"/>
        </w:tabs>
        <w:spacing w:line="240" w:lineRule="auto" w:before="94" w:after="0"/>
        <w:ind w:left="840" w:right="0" w:hanging="721"/>
        <w:jc w:val="left"/>
        <w:rPr>
          <w:sz w:val="20"/>
        </w:rPr>
      </w:pPr>
      <w:r>
        <w:rPr>
          <w:sz w:val="20"/>
        </w:rPr>
        <w:t>During my first six months as President,</w:t>
      </w:r>
      <w:r>
        <w:rPr>
          <w:spacing w:val="-4"/>
          <w:sz w:val="20"/>
        </w:rPr>
        <w:t> </w:t>
      </w:r>
      <w:r>
        <w:rPr>
          <w:sz w:val="20"/>
        </w:rPr>
        <w:t>I:</w:t>
      </w:r>
    </w:p>
    <w:p>
      <w:pPr>
        <w:pStyle w:val="BodyText"/>
        <w:rPr>
          <w:sz w:val="31"/>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r>
        <w:rPr>
          <w:sz w:val="20"/>
        </w:rPr>
        <w:t>successfully defended a proxy fight from the recently fired CEO Robin</w:t>
      </w:r>
      <w:r>
        <w:rPr>
          <w:spacing w:val="-14"/>
          <w:sz w:val="20"/>
        </w:rPr>
        <w:t> </w:t>
      </w:r>
      <w:r>
        <w:rPr>
          <w:sz w:val="20"/>
        </w:rPr>
        <w:t>Phinney;</w:t>
      </w:r>
    </w:p>
    <w:p>
      <w:pPr>
        <w:pStyle w:val="BodyText"/>
        <w:spacing w:before="8"/>
        <w:rPr>
          <w:sz w:val="30"/>
        </w:rPr>
      </w:pPr>
    </w:p>
    <w:p>
      <w:pPr>
        <w:pStyle w:val="ListParagraph"/>
        <w:numPr>
          <w:ilvl w:val="1"/>
          <w:numId w:val="1"/>
        </w:numPr>
        <w:tabs>
          <w:tab w:pos="1559" w:val="left" w:leader="none"/>
          <w:tab w:pos="1560" w:val="left" w:leader="none"/>
        </w:tabs>
        <w:spacing w:line="240" w:lineRule="auto" w:before="1" w:after="0"/>
        <w:ind w:left="1559" w:right="0" w:hanging="721"/>
        <w:jc w:val="left"/>
        <w:rPr>
          <w:rFonts w:ascii="Symbol" w:hAnsi="Symbol"/>
          <w:sz w:val="20"/>
        </w:rPr>
      </w:pPr>
      <w:r>
        <w:rPr>
          <w:sz w:val="20"/>
        </w:rPr>
        <w:t>created a new corporate strategy for KRN that included the Nitrogen</w:t>
      </w:r>
      <w:r>
        <w:rPr>
          <w:spacing w:val="-13"/>
          <w:sz w:val="20"/>
        </w:rPr>
        <w:t> </w:t>
      </w:r>
      <w:r>
        <w:rPr>
          <w:sz w:val="20"/>
        </w:rPr>
        <w:t>Project;</w:t>
      </w:r>
    </w:p>
    <w:p>
      <w:pPr>
        <w:pStyle w:val="BodyText"/>
        <w:spacing w:before="7"/>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r>
        <w:rPr>
          <w:sz w:val="20"/>
        </w:rPr>
        <w:t>travelled to India to get the support of GSFC MD on the new</w:t>
      </w:r>
      <w:r>
        <w:rPr>
          <w:spacing w:val="-14"/>
          <w:sz w:val="20"/>
        </w:rPr>
        <w:t> </w:t>
      </w:r>
      <w:r>
        <w:rPr>
          <w:sz w:val="20"/>
        </w:rPr>
        <w:t>strategy;</w:t>
      </w:r>
    </w:p>
    <w:p>
      <w:pPr>
        <w:pStyle w:val="BodyText"/>
        <w:spacing w:before="9"/>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r>
        <w:rPr>
          <w:sz w:val="20"/>
        </w:rPr>
        <w:t>got the unanimous support of the KRN</w:t>
      </w:r>
      <w:r>
        <w:rPr>
          <w:spacing w:val="-7"/>
          <w:sz w:val="20"/>
        </w:rPr>
        <w:t> </w:t>
      </w:r>
      <w:r>
        <w:rPr>
          <w:sz w:val="20"/>
        </w:rPr>
        <w:t>Board;</w:t>
      </w:r>
    </w:p>
    <w:p>
      <w:pPr>
        <w:pStyle w:val="BodyText"/>
        <w:spacing w:before="9"/>
        <w:rPr>
          <w:sz w:val="30"/>
        </w:rPr>
      </w:pPr>
    </w:p>
    <w:p>
      <w:pPr>
        <w:pStyle w:val="ListParagraph"/>
        <w:numPr>
          <w:ilvl w:val="1"/>
          <w:numId w:val="1"/>
        </w:numPr>
        <w:tabs>
          <w:tab w:pos="1559" w:val="left" w:leader="none"/>
          <w:tab w:pos="1560" w:val="left" w:leader="none"/>
        </w:tabs>
        <w:spacing w:line="350" w:lineRule="auto" w:before="0" w:after="0"/>
        <w:ind w:left="1559" w:right="1157" w:hanging="721"/>
        <w:jc w:val="left"/>
        <w:rPr>
          <w:rFonts w:ascii="Symbol" w:hAnsi="Symbol"/>
          <w:sz w:val="20"/>
        </w:rPr>
      </w:pPr>
      <w:r>
        <w:rPr>
          <w:sz w:val="20"/>
        </w:rPr>
        <w:t>released the strategy to the Canadian capital markets, together with the support of the GSFC MD for the strategy;</w:t>
      </w:r>
      <w:r>
        <w:rPr>
          <w:spacing w:val="-5"/>
          <w:sz w:val="20"/>
        </w:rPr>
        <w:t> </w:t>
      </w:r>
      <w:r>
        <w:rPr>
          <w:sz w:val="20"/>
        </w:rPr>
        <w:t>and</w:t>
      </w:r>
    </w:p>
    <w:p>
      <w:pPr>
        <w:pStyle w:val="BodyText"/>
        <w:spacing w:before="8"/>
        <w:rPr>
          <w:sz w:val="21"/>
        </w:rPr>
      </w:pPr>
    </w:p>
    <w:p>
      <w:pPr>
        <w:pStyle w:val="ListParagraph"/>
        <w:numPr>
          <w:ilvl w:val="1"/>
          <w:numId w:val="1"/>
        </w:numPr>
        <w:tabs>
          <w:tab w:pos="1559" w:val="left" w:leader="none"/>
          <w:tab w:pos="1561" w:val="left" w:leader="none"/>
        </w:tabs>
        <w:spacing w:line="240" w:lineRule="auto" w:before="0" w:after="0"/>
        <w:ind w:left="1560" w:right="0" w:hanging="721"/>
        <w:jc w:val="left"/>
        <w:rPr>
          <w:rFonts w:ascii="Symbol" w:hAnsi="Symbol"/>
          <w:sz w:val="20"/>
        </w:rPr>
      </w:pPr>
      <w:r>
        <w:rPr>
          <w:sz w:val="20"/>
        </w:rPr>
        <w:t>received unsolicited interest from the</w:t>
      </w:r>
      <w:r>
        <w:rPr>
          <w:spacing w:val="-6"/>
          <w:sz w:val="20"/>
        </w:rPr>
        <w:t> </w:t>
      </w:r>
      <w:r>
        <w:rPr>
          <w:sz w:val="20"/>
        </w:rPr>
        <w:t>AgCo.</w:t>
      </w:r>
    </w:p>
    <w:p>
      <w:pPr>
        <w:pStyle w:val="BodyText"/>
        <w:spacing w:before="8"/>
        <w:rPr>
          <w:sz w:val="30"/>
        </w:rPr>
      </w:pPr>
    </w:p>
    <w:p>
      <w:pPr>
        <w:pStyle w:val="Heading1"/>
        <w:ind w:left="119" w:firstLine="0"/>
      </w:pPr>
      <w:r>
        <w:rPr/>
        <w:t>The First Shakedown of the Agco</w:t>
      </w:r>
    </w:p>
    <w:p>
      <w:pPr>
        <w:pStyle w:val="BodyText"/>
        <w:spacing w:before="9"/>
        <w:rPr>
          <w:b/>
          <w:sz w:val="30"/>
        </w:rPr>
      </w:pPr>
    </w:p>
    <w:p>
      <w:pPr>
        <w:pStyle w:val="ListParagraph"/>
        <w:numPr>
          <w:ilvl w:val="0"/>
          <w:numId w:val="1"/>
        </w:numPr>
        <w:tabs>
          <w:tab w:pos="840" w:val="left" w:leader="none"/>
        </w:tabs>
        <w:spacing w:line="360" w:lineRule="auto" w:before="0" w:after="0"/>
        <w:ind w:left="839" w:right="1158" w:hanging="720"/>
        <w:jc w:val="both"/>
        <w:rPr>
          <w:sz w:val="20"/>
        </w:rPr>
      </w:pPr>
      <w:r>
        <w:rPr>
          <w:sz w:val="20"/>
        </w:rPr>
        <w:t>In February 2019, I arranged an in-person meeting between Varma, Nanavaty, Rowan, Favreau and myself with the CEO of the</w:t>
      </w:r>
      <w:r>
        <w:rPr>
          <w:spacing w:val="-8"/>
          <w:sz w:val="20"/>
        </w:rPr>
        <w:t> </w:t>
      </w:r>
      <w:r>
        <w:rPr>
          <w:sz w:val="20"/>
        </w:rPr>
        <w:t>AgCo.</w:t>
      </w:r>
    </w:p>
    <w:p>
      <w:pPr>
        <w:pStyle w:val="BodyText"/>
        <w:spacing w:before="10"/>
      </w:pPr>
    </w:p>
    <w:p>
      <w:pPr>
        <w:pStyle w:val="ListParagraph"/>
        <w:numPr>
          <w:ilvl w:val="0"/>
          <w:numId w:val="1"/>
        </w:numPr>
        <w:tabs>
          <w:tab w:pos="840" w:val="left" w:leader="none"/>
        </w:tabs>
        <w:spacing w:line="360" w:lineRule="auto" w:before="1" w:after="0"/>
        <w:ind w:left="839" w:right="1156" w:hanging="721"/>
        <w:jc w:val="both"/>
        <w:rPr>
          <w:sz w:val="20"/>
        </w:rPr>
      </w:pPr>
      <w:r>
        <w:rPr>
          <w:sz w:val="20"/>
        </w:rPr>
        <w:t>The purpose of the meeting was for the GSFC Nominees to meet the CEO and management of the</w:t>
      </w:r>
      <w:r>
        <w:rPr>
          <w:spacing w:val="-15"/>
          <w:sz w:val="20"/>
        </w:rPr>
        <w:t> </w:t>
      </w:r>
      <w:r>
        <w:rPr>
          <w:sz w:val="20"/>
        </w:rPr>
        <w:t>AgCo,</w:t>
      </w:r>
      <w:r>
        <w:rPr>
          <w:spacing w:val="-14"/>
          <w:sz w:val="20"/>
        </w:rPr>
        <w:t> </w:t>
      </w:r>
      <w:r>
        <w:rPr>
          <w:sz w:val="20"/>
        </w:rPr>
        <w:t>and</w:t>
      </w:r>
      <w:r>
        <w:rPr>
          <w:spacing w:val="-14"/>
          <w:sz w:val="20"/>
        </w:rPr>
        <w:t> </w:t>
      </w:r>
      <w:r>
        <w:rPr>
          <w:sz w:val="20"/>
        </w:rPr>
        <w:t>vice</w:t>
      </w:r>
      <w:r>
        <w:rPr>
          <w:spacing w:val="-15"/>
          <w:sz w:val="20"/>
        </w:rPr>
        <w:t> </w:t>
      </w:r>
      <w:r>
        <w:rPr>
          <w:sz w:val="20"/>
        </w:rPr>
        <w:t>versa,</w:t>
      </w:r>
      <w:r>
        <w:rPr>
          <w:spacing w:val="-14"/>
          <w:sz w:val="20"/>
        </w:rPr>
        <w:t> </w:t>
      </w:r>
      <w:r>
        <w:rPr>
          <w:sz w:val="20"/>
        </w:rPr>
        <w:t>given</w:t>
      </w:r>
      <w:r>
        <w:rPr>
          <w:spacing w:val="-14"/>
          <w:sz w:val="20"/>
        </w:rPr>
        <w:t> </w:t>
      </w:r>
      <w:r>
        <w:rPr>
          <w:sz w:val="20"/>
        </w:rPr>
        <w:t>that</w:t>
      </w:r>
      <w:r>
        <w:rPr>
          <w:spacing w:val="-14"/>
          <w:sz w:val="20"/>
        </w:rPr>
        <w:t> </w:t>
      </w:r>
      <w:r>
        <w:rPr>
          <w:sz w:val="20"/>
        </w:rPr>
        <w:t>both</w:t>
      </w:r>
      <w:r>
        <w:rPr>
          <w:spacing w:val="-14"/>
          <w:sz w:val="20"/>
        </w:rPr>
        <w:t> </w:t>
      </w:r>
      <w:r>
        <w:rPr>
          <w:sz w:val="20"/>
        </w:rPr>
        <w:t>parties</w:t>
      </w:r>
      <w:r>
        <w:rPr>
          <w:spacing w:val="-13"/>
          <w:sz w:val="20"/>
        </w:rPr>
        <w:t> </w:t>
      </w:r>
      <w:r>
        <w:rPr>
          <w:sz w:val="20"/>
        </w:rPr>
        <w:t>might</w:t>
      </w:r>
      <w:r>
        <w:rPr>
          <w:spacing w:val="-14"/>
          <w:sz w:val="20"/>
        </w:rPr>
        <w:t> </w:t>
      </w:r>
      <w:r>
        <w:rPr>
          <w:sz w:val="20"/>
        </w:rPr>
        <w:t>be</w:t>
      </w:r>
      <w:r>
        <w:rPr>
          <w:spacing w:val="-14"/>
          <w:sz w:val="20"/>
        </w:rPr>
        <w:t> </w:t>
      </w:r>
      <w:r>
        <w:rPr>
          <w:sz w:val="20"/>
        </w:rPr>
        <w:t>working</w:t>
      </w:r>
      <w:r>
        <w:rPr>
          <w:spacing w:val="-15"/>
          <w:sz w:val="20"/>
        </w:rPr>
        <w:t> </w:t>
      </w:r>
      <w:r>
        <w:rPr>
          <w:sz w:val="20"/>
        </w:rPr>
        <w:t>together</w:t>
      </w:r>
      <w:r>
        <w:rPr>
          <w:spacing w:val="-13"/>
          <w:sz w:val="20"/>
        </w:rPr>
        <w:t> </w:t>
      </w:r>
      <w:r>
        <w:rPr>
          <w:sz w:val="20"/>
        </w:rPr>
        <w:t>on</w:t>
      </w:r>
      <w:r>
        <w:rPr>
          <w:spacing w:val="-14"/>
          <w:sz w:val="20"/>
        </w:rPr>
        <w:t> </w:t>
      </w:r>
      <w:r>
        <w:rPr>
          <w:sz w:val="20"/>
        </w:rPr>
        <w:t>the</w:t>
      </w:r>
      <w:r>
        <w:rPr>
          <w:spacing w:val="-14"/>
          <w:sz w:val="20"/>
        </w:rPr>
        <w:t> </w:t>
      </w:r>
      <w:r>
        <w:rPr>
          <w:sz w:val="20"/>
        </w:rPr>
        <w:t>Nitrogen</w:t>
      </w:r>
      <w:r>
        <w:rPr>
          <w:spacing w:val="-14"/>
          <w:sz w:val="20"/>
        </w:rPr>
        <w:t> </w:t>
      </w:r>
      <w:r>
        <w:rPr>
          <w:sz w:val="20"/>
        </w:rPr>
        <w:t>Project. The</w:t>
      </w:r>
      <w:r>
        <w:rPr>
          <w:spacing w:val="-8"/>
          <w:sz w:val="20"/>
        </w:rPr>
        <w:t> </w:t>
      </w:r>
      <w:r>
        <w:rPr>
          <w:sz w:val="20"/>
        </w:rPr>
        <w:t>CEO</w:t>
      </w:r>
      <w:r>
        <w:rPr>
          <w:spacing w:val="-8"/>
          <w:sz w:val="20"/>
        </w:rPr>
        <w:t> </w:t>
      </w:r>
      <w:r>
        <w:rPr>
          <w:sz w:val="20"/>
        </w:rPr>
        <w:t>of</w:t>
      </w:r>
      <w:r>
        <w:rPr>
          <w:spacing w:val="-8"/>
          <w:sz w:val="20"/>
        </w:rPr>
        <w:t> </w:t>
      </w:r>
      <w:r>
        <w:rPr>
          <w:sz w:val="20"/>
        </w:rPr>
        <w:t>the</w:t>
      </w:r>
      <w:r>
        <w:rPr>
          <w:spacing w:val="-8"/>
          <w:sz w:val="20"/>
        </w:rPr>
        <w:t> </w:t>
      </w:r>
      <w:r>
        <w:rPr>
          <w:sz w:val="20"/>
        </w:rPr>
        <w:t>AgCo</w:t>
      </w:r>
      <w:r>
        <w:rPr>
          <w:spacing w:val="-9"/>
          <w:sz w:val="20"/>
        </w:rPr>
        <w:t> </w:t>
      </w:r>
      <w:r>
        <w:rPr>
          <w:sz w:val="20"/>
        </w:rPr>
        <w:t>had</w:t>
      </w:r>
      <w:r>
        <w:rPr>
          <w:spacing w:val="-9"/>
          <w:sz w:val="20"/>
        </w:rPr>
        <w:t> </w:t>
      </w:r>
      <w:r>
        <w:rPr>
          <w:sz w:val="20"/>
        </w:rPr>
        <w:t>left</w:t>
      </w:r>
      <w:r>
        <w:rPr>
          <w:spacing w:val="-8"/>
          <w:sz w:val="20"/>
        </w:rPr>
        <w:t> </w:t>
      </w:r>
      <w:r>
        <w:rPr>
          <w:sz w:val="20"/>
        </w:rPr>
        <w:t>an</w:t>
      </w:r>
      <w:r>
        <w:rPr>
          <w:spacing w:val="-8"/>
          <w:sz w:val="20"/>
        </w:rPr>
        <w:t> </w:t>
      </w:r>
      <w:r>
        <w:rPr>
          <w:sz w:val="20"/>
        </w:rPr>
        <w:t>internal</w:t>
      </w:r>
      <w:r>
        <w:rPr>
          <w:spacing w:val="-8"/>
          <w:sz w:val="20"/>
        </w:rPr>
        <w:t> </w:t>
      </w:r>
      <w:r>
        <w:rPr>
          <w:sz w:val="20"/>
        </w:rPr>
        <w:t>AgCo</w:t>
      </w:r>
      <w:r>
        <w:rPr>
          <w:spacing w:val="-8"/>
          <w:sz w:val="20"/>
        </w:rPr>
        <w:t> </w:t>
      </w:r>
      <w:r>
        <w:rPr>
          <w:sz w:val="20"/>
        </w:rPr>
        <w:t>meeting</w:t>
      </w:r>
      <w:r>
        <w:rPr>
          <w:spacing w:val="-8"/>
          <w:sz w:val="20"/>
        </w:rPr>
        <w:t> </w:t>
      </w:r>
      <w:r>
        <w:rPr>
          <w:sz w:val="20"/>
        </w:rPr>
        <w:t>and</w:t>
      </w:r>
      <w:r>
        <w:rPr>
          <w:spacing w:val="-8"/>
          <w:sz w:val="20"/>
        </w:rPr>
        <w:t> </w:t>
      </w:r>
      <w:r>
        <w:rPr>
          <w:sz w:val="20"/>
        </w:rPr>
        <w:t>travelled</w:t>
      </w:r>
      <w:r>
        <w:rPr>
          <w:spacing w:val="-8"/>
          <w:sz w:val="20"/>
        </w:rPr>
        <w:t> </w:t>
      </w:r>
      <w:r>
        <w:rPr>
          <w:sz w:val="20"/>
        </w:rPr>
        <w:t>to</w:t>
      </w:r>
      <w:r>
        <w:rPr>
          <w:spacing w:val="-8"/>
          <w:sz w:val="20"/>
        </w:rPr>
        <w:t> </w:t>
      </w:r>
      <w:r>
        <w:rPr>
          <w:sz w:val="20"/>
        </w:rPr>
        <w:t>the</w:t>
      </w:r>
      <w:r>
        <w:rPr>
          <w:spacing w:val="-8"/>
          <w:sz w:val="20"/>
        </w:rPr>
        <w:t> </w:t>
      </w:r>
      <w:r>
        <w:rPr>
          <w:sz w:val="20"/>
        </w:rPr>
        <w:t>airport</w:t>
      </w:r>
      <w:r>
        <w:rPr>
          <w:spacing w:val="-8"/>
          <w:sz w:val="20"/>
        </w:rPr>
        <w:t> </w:t>
      </w:r>
      <w:r>
        <w:rPr>
          <w:sz w:val="20"/>
        </w:rPr>
        <w:t>in</w:t>
      </w:r>
      <w:r>
        <w:rPr>
          <w:spacing w:val="-8"/>
          <w:sz w:val="20"/>
        </w:rPr>
        <w:t> </w:t>
      </w:r>
      <w:r>
        <w:rPr>
          <w:sz w:val="20"/>
        </w:rPr>
        <w:t>a</w:t>
      </w:r>
      <w:r>
        <w:rPr>
          <w:spacing w:val="-8"/>
          <w:sz w:val="20"/>
        </w:rPr>
        <w:t> </w:t>
      </w:r>
      <w:r>
        <w:rPr>
          <w:sz w:val="20"/>
        </w:rPr>
        <w:t>snowstorm to attend the</w:t>
      </w:r>
      <w:r>
        <w:rPr>
          <w:spacing w:val="-4"/>
          <w:sz w:val="20"/>
        </w:rPr>
        <w:t> </w:t>
      </w:r>
      <w:r>
        <w:rPr>
          <w:sz w:val="20"/>
        </w:rPr>
        <w:t>meeting.</w:t>
      </w:r>
    </w:p>
    <w:p>
      <w:pPr>
        <w:pStyle w:val="BodyText"/>
        <w:spacing w:before="10"/>
      </w:pPr>
    </w:p>
    <w:p>
      <w:pPr>
        <w:pStyle w:val="ListParagraph"/>
        <w:numPr>
          <w:ilvl w:val="0"/>
          <w:numId w:val="1"/>
        </w:numPr>
        <w:tabs>
          <w:tab w:pos="840" w:val="left" w:leader="none"/>
        </w:tabs>
        <w:spacing w:line="360" w:lineRule="auto" w:before="0" w:after="0"/>
        <w:ind w:left="839" w:right="1157" w:hanging="721"/>
        <w:jc w:val="both"/>
        <w:rPr>
          <w:sz w:val="20"/>
        </w:rPr>
      </w:pPr>
      <w:r>
        <w:rPr>
          <w:sz w:val="20"/>
        </w:rPr>
        <w:t>Varma</w:t>
      </w:r>
      <w:r>
        <w:rPr>
          <w:spacing w:val="-11"/>
          <w:sz w:val="20"/>
        </w:rPr>
        <w:t> </w:t>
      </w:r>
      <w:r>
        <w:rPr>
          <w:sz w:val="20"/>
        </w:rPr>
        <w:t>told</w:t>
      </w:r>
      <w:r>
        <w:rPr>
          <w:spacing w:val="-11"/>
          <w:sz w:val="20"/>
        </w:rPr>
        <w:t> </w:t>
      </w:r>
      <w:r>
        <w:rPr>
          <w:sz w:val="20"/>
        </w:rPr>
        <w:t>the</w:t>
      </w:r>
      <w:r>
        <w:rPr>
          <w:spacing w:val="-11"/>
          <w:sz w:val="20"/>
        </w:rPr>
        <w:t> </w:t>
      </w:r>
      <w:r>
        <w:rPr>
          <w:sz w:val="20"/>
        </w:rPr>
        <w:t>CEO</w:t>
      </w:r>
      <w:r>
        <w:rPr>
          <w:spacing w:val="-11"/>
          <w:sz w:val="20"/>
        </w:rPr>
        <w:t> </w:t>
      </w:r>
      <w:r>
        <w:rPr>
          <w:sz w:val="20"/>
        </w:rPr>
        <w:t>of</w:t>
      </w:r>
      <w:r>
        <w:rPr>
          <w:spacing w:val="-11"/>
          <w:sz w:val="20"/>
        </w:rPr>
        <w:t> </w:t>
      </w:r>
      <w:r>
        <w:rPr>
          <w:sz w:val="20"/>
        </w:rPr>
        <w:t>the</w:t>
      </w:r>
      <w:r>
        <w:rPr>
          <w:spacing w:val="-9"/>
          <w:sz w:val="20"/>
        </w:rPr>
        <w:t> </w:t>
      </w:r>
      <w:r>
        <w:rPr>
          <w:sz w:val="20"/>
        </w:rPr>
        <w:t>AgCo</w:t>
      </w:r>
      <w:r>
        <w:rPr>
          <w:spacing w:val="-11"/>
          <w:sz w:val="20"/>
        </w:rPr>
        <w:t> </w:t>
      </w:r>
      <w:r>
        <w:rPr>
          <w:sz w:val="20"/>
        </w:rPr>
        <w:t>that</w:t>
      </w:r>
      <w:r>
        <w:rPr>
          <w:spacing w:val="-12"/>
          <w:sz w:val="20"/>
        </w:rPr>
        <w:t> </w:t>
      </w:r>
      <w:r>
        <w:rPr>
          <w:sz w:val="20"/>
        </w:rPr>
        <w:t>GSFC</w:t>
      </w:r>
      <w:r>
        <w:rPr>
          <w:spacing w:val="-11"/>
          <w:sz w:val="20"/>
        </w:rPr>
        <w:t> </w:t>
      </w:r>
      <w:r>
        <w:rPr>
          <w:sz w:val="20"/>
        </w:rPr>
        <w:t>was</w:t>
      </w:r>
      <w:r>
        <w:rPr>
          <w:spacing w:val="-11"/>
          <w:sz w:val="20"/>
        </w:rPr>
        <w:t> </w:t>
      </w:r>
      <w:r>
        <w:rPr>
          <w:sz w:val="20"/>
        </w:rPr>
        <w:t>in</w:t>
      </w:r>
      <w:r>
        <w:rPr>
          <w:spacing w:val="-10"/>
          <w:sz w:val="20"/>
        </w:rPr>
        <w:t> </w:t>
      </w:r>
      <w:r>
        <w:rPr>
          <w:sz w:val="20"/>
        </w:rPr>
        <w:t>Canada</w:t>
      </w:r>
      <w:r>
        <w:rPr>
          <w:spacing w:val="-11"/>
          <w:sz w:val="20"/>
        </w:rPr>
        <w:t> </w:t>
      </w:r>
      <w:r>
        <w:rPr>
          <w:sz w:val="20"/>
        </w:rPr>
        <w:t>only</w:t>
      </w:r>
      <w:r>
        <w:rPr>
          <w:spacing w:val="-11"/>
          <w:sz w:val="20"/>
        </w:rPr>
        <w:t> </w:t>
      </w:r>
      <w:r>
        <w:rPr>
          <w:sz w:val="20"/>
        </w:rPr>
        <w:t>for</w:t>
      </w:r>
      <w:r>
        <w:rPr>
          <w:spacing w:val="-11"/>
          <w:sz w:val="20"/>
        </w:rPr>
        <w:t> </w:t>
      </w:r>
      <w:r>
        <w:rPr>
          <w:sz w:val="20"/>
        </w:rPr>
        <w:t>potash,</w:t>
      </w:r>
      <w:r>
        <w:rPr>
          <w:spacing w:val="-12"/>
          <w:sz w:val="20"/>
        </w:rPr>
        <w:t> </w:t>
      </w:r>
      <w:r>
        <w:rPr>
          <w:sz w:val="20"/>
        </w:rPr>
        <w:t>wasn’t</w:t>
      </w:r>
      <w:r>
        <w:rPr>
          <w:spacing w:val="-11"/>
          <w:sz w:val="20"/>
        </w:rPr>
        <w:t> </w:t>
      </w:r>
      <w:r>
        <w:rPr>
          <w:sz w:val="20"/>
        </w:rPr>
        <w:t>really</w:t>
      </w:r>
      <w:r>
        <w:rPr>
          <w:spacing w:val="-11"/>
          <w:sz w:val="20"/>
        </w:rPr>
        <w:t> </w:t>
      </w:r>
      <w:r>
        <w:rPr>
          <w:sz w:val="20"/>
        </w:rPr>
        <w:t>interested in nitrogen fertilizer, however, asked the CEO of the AgCo “</w:t>
      </w:r>
      <w:r>
        <w:rPr>
          <w:i/>
          <w:sz w:val="20"/>
        </w:rPr>
        <w:t>how much money are you going to </w:t>
      </w:r>
      <w:r>
        <w:rPr>
          <w:i/>
          <w:sz w:val="20"/>
        </w:rPr>
        <w:t>invest and when are you signing your</w:t>
      </w:r>
      <w:r>
        <w:rPr>
          <w:i/>
          <w:spacing w:val="-11"/>
          <w:sz w:val="20"/>
        </w:rPr>
        <w:t> </w:t>
      </w:r>
      <w:r>
        <w:rPr>
          <w:i/>
          <w:sz w:val="20"/>
        </w:rPr>
        <w:t>commitment</w:t>
      </w:r>
      <w:r>
        <w:rPr>
          <w:sz w:val="20"/>
        </w:rPr>
        <w:t>”.</w:t>
      </w:r>
    </w:p>
    <w:p>
      <w:pPr>
        <w:pStyle w:val="BodyText"/>
        <w:spacing w:before="9"/>
      </w:pPr>
    </w:p>
    <w:p>
      <w:pPr>
        <w:pStyle w:val="ListParagraph"/>
        <w:numPr>
          <w:ilvl w:val="0"/>
          <w:numId w:val="1"/>
        </w:numPr>
        <w:tabs>
          <w:tab w:pos="840" w:val="left" w:leader="none"/>
        </w:tabs>
        <w:spacing w:line="360" w:lineRule="auto" w:before="1" w:after="0"/>
        <w:ind w:left="839" w:right="1157" w:hanging="720"/>
        <w:jc w:val="both"/>
        <w:rPr>
          <w:sz w:val="20"/>
        </w:rPr>
      </w:pPr>
      <w:r>
        <w:rPr>
          <w:sz w:val="20"/>
        </w:rPr>
        <w:t>I verily believe it was a shakedown. I spent more than a decade working with Canadian mining companies in Eastern Europe, and I am familiar with how shakedowns are conducted. I verily believe that Varma tried to shake down the CEO of the AgCo for ~$50 million. It was a very crude and unsophisticated shakedown, but it was a shakedown</w:t>
      </w:r>
      <w:r>
        <w:rPr>
          <w:spacing w:val="-11"/>
          <w:sz w:val="20"/>
        </w:rPr>
        <w:t> </w:t>
      </w:r>
      <w:r>
        <w:rPr>
          <w:sz w:val="20"/>
        </w:rPr>
        <w:t>nevertheless.</w:t>
      </w:r>
    </w:p>
    <w:p>
      <w:pPr>
        <w:pStyle w:val="BodyText"/>
        <w:spacing w:before="10"/>
      </w:pPr>
    </w:p>
    <w:p>
      <w:pPr>
        <w:pStyle w:val="ListParagraph"/>
        <w:numPr>
          <w:ilvl w:val="0"/>
          <w:numId w:val="1"/>
        </w:numPr>
        <w:tabs>
          <w:tab w:pos="839" w:val="left" w:leader="none"/>
          <w:tab w:pos="840" w:val="left" w:leader="none"/>
        </w:tabs>
        <w:spacing w:line="240" w:lineRule="auto" w:before="0" w:after="0"/>
        <w:ind w:left="839" w:right="0" w:hanging="721"/>
        <w:jc w:val="left"/>
        <w:rPr>
          <w:sz w:val="20"/>
        </w:rPr>
      </w:pPr>
      <w:r>
        <w:rPr>
          <w:sz w:val="20"/>
        </w:rPr>
        <w:t>The CEO of the AgCo ended the</w:t>
      </w:r>
      <w:r>
        <w:rPr>
          <w:spacing w:val="-8"/>
          <w:sz w:val="20"/>
        </w:rPr>
        <w:t> </w:t>
      </w:r>
      <w:r>
        <w:rPr>
          <w:sz w:val="20"/>
        </w:rPr>
        <w:t>meeting.</w:t>
      </w:r>
    </w:p>
    <w:p>
      <w:pPr>
        <w:pStyle w:val="BodyText"/>
        <w:spacing w:before="10"/>
        <w:rPr>
          <w:sz w:val="30"/>
        </w:rPr>
      </w:pPr>
    </w:p>
    <w:p>
      <w:pPr>
        <w:pStyle w:val="ListParagraph"/>
        <w:numPr>
          <w:ilvl w:val="0"/>
          <w:numId w:val="1"/>
        </w:numPr>
        <w:tabs>
          <w:tab w:pos="840" w:val="left" w:leader="none"/>
        </w:tabs>
        <w:spacing w:line="360" w:lineRule="auto" w:before="1" w:after="0"/>
        <w:ind w:left="839" w:right="1157" w:hanging="721"/>
        <w:jc w:val="both"/>
        <w:rPr>
          <w:sz w:val="20"/>
        </w:rPr>
      </w:pPr>
      <w:r>
        <w:rPr>
          <w:sz w:val="20"/>
        </w:rPr>
        <w:t>I cannot recall being in a meeting where I have been so embarrassed, and Varma’s actions damaged my relationship with the AgCo that I had been developing for six (6)</w:t>
      </w:r>
      <w:r>
        <w:rPr>
          <w:spacing w:val="-20"/>
          <w:sz w:val="20"/>
        </w:rPr>
        <w:t> </w:t>
      </w:r>
      <w:r>
        <w:rPr>
          <w:sz w:val="20"/>
        </w:rPr>
        <w:t>months.</w:t>
      </w:r>
    </w:p>
    <w:p>
      <w:pPr>
        <w:spacing w:after="0" w:line="360" w:lineRule="auto"/>
        <w:jc w:val="both"/>
        <w:rPr>
          <w:sz w:val="20"/>
        </w:rPr>
        <w:sectPr>
          <w:pgSz w:w="12240" w:h="15840"/>
          <w:pgMar w:header="0" w:footer="1259" w:top="1220" w:bottom="1440" w:left="1320" w:right="280"/>
        </w:sectPr>
      </w:pPr>
    </w:p>
    <w:p>
      <w:pPr>
        <w:pStyle w:val="Heading1"/>
        <w:spacing w:before="75"/>
        <w:ind w:left="120" w:firstLine="0"/>
      </w:pPr>
      <w:r>
        <w:rPr/>
        <w:pict>
          <v:group style="position:absolute;margin-left:476.772003pt;margin-top:727.304321pt;width:109.25pt;height:44.35pt;mso-position-horizontal-relative:page;mso-position-vertical-relative:page;z-index:251684864" coordorigin="9535,14546" coordsize="2185,887">
            <v:shape style="position:absolute;left:10857;top:14557;width:863;height:876" type="#_x0000_t75" stroked="false">
              <v:imagedata r:id="rId9" o:title=""/>
            </v:shape>
            <v:shape style="position:absolute;left:9535;top:14546;width:1381;height:876" type="#_x0000_t75" stroked="false">
              <v:imagedata r:id="rId10" o:title=""/>
            </v:shape>
            <w10:wrap type="none"/>
          </v:group>
        </w:pict>
      </w:r>
      <w:r>
        <w:rPr/>
        <w:t>My Hiring as the CEO of KRN</w:t>
      </w:r>
    </w:p>
    <w:p>
      <w:pPr>
        <w:pStyle w:val="BodyText"/>
        <w:spacing w:before="10"/>
        <w:rPr>
          <w:b/>
          <w:sz w:val="30"/>
        </w:rPr>
      </w:pPr>
    </w:p>
    <w:p>
      <w:pPr>
        <w:pStyle w:val="ListParagraph"/>
        <w:numPr>
          <w:ilvl w:val="0"/>
          <w:numId w:val="8"/>
        </w:numPr>
        <w:tabs>
          <w:tab w:pos="839" w:val="left" w:leader="none"/>
          <w:tab w:pos="841" w:val="left" w:leader="none"/>
        </w:tabs>
        <w:spacing w:line="240" w:lineRule="auto" w:before="0" w:after="0"/>
        <w:ind w:left="840" w:right="0" w:hanging="721"/>
        <w:jc w:val="left"/>
        <w:rPr>
          <w:sz w:val="20"/>
        </w:rPr>
      </w:pPr>
      <w:r>
        <w:rPr>
          <w:sz w:val="20"/>
          <w:u w:val="single"/>
        </w:rPr>
        <w:t>Negotiation of CEO</w:t>
      </w:r>
      <w:r>
        <w:rPr>
          <w:spacing w:val="-4"/>
          <w:sz w:val="20"/>
          <w:u w:val="single"/>
        </w:rPr>
        <w:t> </w:t>
      </w:r>
      <w:r>
        <w:rPr>
          <w:sz w:val="20"/>
          <w:u w:val="single"/>
        </w:rPr>
        <w:t>Agreement</w:t>
      </w:r>
    </w:p>
    <w:p>
      <w:pPr>
        <w:pStyle w:val="BodyText"/>
        <w:spacing w:before="8"/>
        <w:rPr>
          <w:sz w:val="15"/>
        </w:rPr>
      </w:pPr>
    </w:p>
    <w:p>
      <w:pPr>
        <w:pStyle w:val="ListParagraph"/>
        <w:numPr>
          <w:ilvl w:val="0"/>
          <w:numId w:val="1"/>
        </w:numPr>
        <w:tabs>
          <w:tab w:pos="841" w:val="left" w:leader="none"/>
        </w:tabs>
        <w:spacing w:line="360" w:lineRule="auto" w:before="94" w:after="0"/>
        <w:ind w:left="839" w:right="1157" w:hanging="720"/>
        <w:jc w:val="both"/>
        <w:rPr>
          <w:sz w:val="20"/>
        </w:rPr>
      </w:pPr>
      <w:r>
        <w:rPr>
          <w:sz w:val="20"/>
        </w:rPr>
        <w:t>In February 2019, given that none of the members of the KRN Board, nor management, had the sort</w:t>
      </w:r>
      <w:r>
        <w:rPr>
          <w:spacing w:val="-5"/>
          <w:sz w:val="20"/>
        </w:rPr>
        <w:t> </w:t>
      </w:r>
      <w:r>
        <w:rPr>
          <w:sz w:val="20"/>
        </w:rPr>
        <w:t>of</w:t>
      </w:r>
      <w:r>
        <w:rPr>
          <w:spacing w:val="-4"/>
          <w:sz w:val="20"/>
        </w:rPr>
        <w:t> </w:t>
      </w:r>
      <w:r>
        <w:rPr>
          <w:sz w:val="20"/>
        </w:rPr>
        <w:t>experience</w:t>
      </w:r>
      <w:r>
        <w:rPr>
          <w:spacing w:val="-3"/>
          <w:sz w:val="20"/>
        </w:rPr>
        <w:t> </w:t>
      </w:r>
      <w:r>
        <w:rPr>
          <w:sz w:val="20"/>
        </w:rPr>
        <w:t>with</w:t>
      </w:r>
      <w:r>
        <w:rPr>
          <w:spacing w:val="-3"/>
          <w:sz w:val="20"/>
        </w:rPr>
        <w:t> </w:t>
      </w:r>
      <w:r>
        <w:rPr>
          <w:sz w:val="20"/>
        </w:rPr>
        <w:t>executive</w:t>
      </w:r>
      <w:r>
        <w:rPr>
          <w:spacing w:val="-4"/>
          <w:sz w:val="20"/>
        </w:rPr>
        <w:t> </w:t>
      </w:r>
      <w:r>
        <w:rPr>
          <w:sz w:val="20"/>
        </w:rPr>
        <w:t>employment</w:t>
      </w:r>
      <w:r>
        <w:rPr>
          <w:spacing w:val="-4"/>
          <w:sz w:val="20"/>
        </w:rPr>
        <w:t> </w:t>
      </w:r>
      <w:r>
        <w:rPr>
          <w:sz w:val="20"/>
        </w:rPr>
        <w:t>agreements</w:t>
      </w:r>
      <w:r>
        <w:rPr>
          <w:spacing w:val="-2"/>
          <w:sz w:val="20"/>
        </w:rPr>
        <w:t> </w:t>
      </w:r>
      <w:r>
        <w:rPr>
          <w:sz w:val="20"/>
        </w:rPr>
        <w:t>that</w:t>
      </w:r>
      <w:r>
        <w:rPr>
          <w:spacing w:val="-4"/>
          <w:sz w:val="20"/>
        </w:rPr>
        <w:t> </w:t>
      </w:r>
      <w:r>
        <w:rPr>
          <w:sz w:val="20"/>
        </w:rPr>
        <w:t>I</w:t>
      </w:r>
      <w:r>
        <w:rPr>
          <w:spacing w:val="-4"/>
          <w:sz w:val="20"/>
        </w:rPr>
        <w:t> </w:t>
      </w:r>
      <w:r>
        <w:rPr>
          <w:sz w:val="20"/>
        </w:rPr>
        <w:t>did,</w:t>
      </w:r>
      <w:r>
        <w:rPr>
          <w:spacing w:val="-5"/>
          <w:sz w:val="20"/>
        </w:rPr>
        <w:t> </w:t>
      </w:r>
      <w:r>
        <w:rPr>
          <w:sz w:val="20"/>
        </w:rPr>
        <w:t>I</w:t>
      </w:r>
      <w:r>
        <w:rPr>
          <w:spacing w:val="-4"/>
          <w:sz w:val="20"/>
        </w:rPr>
        <w:t> </w:t>
      </w:r>
      <w:r>
        <w:rPr>
          <w:sz w:val="20"/>
        </w:rPr>
        <w:t>prepared</w:t>
      </w:r>
      <w:r>
        <w:rPr>
          <w:spacing w:val="-3"/>
          <w:sz w:val="20"/>
        </w:rPr>
        <w:t> </w:t>
      </w:r>
      <w:r>
        <w:rPr>
          <w:sz w:val="20"/>
        </w:rPr>
        <w:t>a</w:t>
      </w:r>
      <w:r>
        <w:rPr>
          <w:spacing w:val="-4"/>
          <w:sz w:val="20"/>
        </w:rPr>
        <w:t> </w:t>
      </w:r>
      <w:r>
        <w:rPr>
          <w:sz w:val="20"/>
        </w:rPr>
        <w:t>set</w:t>
      </w:r>
      <w:r>
        <w:rPr>
          <w:spacing w:val="-4"/>
          <w:sz w:val="20"/>
        </w:rPr>
        <w:t> </w:t>
      </w:r>
      <w:r>
        <w:rPr>
          <w:sz w:val="20"/>
        </w:rPr>
        <w:t>of</w:t>
      </w:r>
      <w:r>
        <w:rPr>
          <w:spacing w:val="-5"/>
          <w:sz w:val="20"/>
        </w:rPr>
        <w:t> </w:t>
      </w:r>
      <w:r>
        <w:rPr>
          <w:sz w:val="20"/>
        </w:rPr>
        <w:t>notes</w:t>
      </w:r>
      <w:r>
        <w:rPr>
          <w:spacing w:val="-2"/>
          <w:sz w:val="20"/>
        </w:rPr>
        <w:t> </w:t>
      </w:r>
      <w:r>
        <w:rPr>
          <w:sz w:val="20"/>
        </w:rPr>
        <w:t>(the “</w:t>
      </w:r>
      <w:r>
        <w:rPr>
          <w:b/>
          <w:sz w:val="20"/>
        </w:rPr>
        <w:t>Notes</w:t>
      </w:r>
      <w:r>
        <w:rPr>
          <w:sz w:val="20"/>
        </w:rPr>
        <w:t>”) with 12 items that I considered to be the essential terms and conditions of my hiring as the CEO of Karnalyte. I provided the Notes to</w:t>
      </w:r>
      <w:r>
        <w:rPr>
          <w:spacing w:val="-11"/>
          <w:sz w:val="20"/>
        </w:rPr>
        <w:t> </w:t>
      </w:r>
      <w:r>
        <w:rPr>
          <w:sz w:val="20"/>
        </w:rPr>
        <w:t>Rowan.</w:t>
      </w:r>
    </w:p>
    <w:p>
      <w:pPr>
        <w:pStyle w:val="ListParagraph"/>
        <w:numPr>
          <w:ilvl w:val="0"/>
          <w:numId w:val="1"/>
        </w:numPr>
        <w:tabs>
          <w:tab w:pos="840" w:val="left" w:leader="none"/>
        </w:tabs>
        <w:spacing w:line="360" w:lineRule="auto" w:before="159" w:after="0"/>
        <w:ind w:left="839" w:right="1155" w:hanging="721"/>
        <w:jc w:val="both"/>
        <w:rPr>
          <w:sz w:val="20"/>
        </w:rPr>
      </w:pPr>
      <w:r>
        <w:rPr>
          <w:sz w:val="20"/>
        </w:rPr>
        <w:t>On</w:t>
      </w:r>
      <w:r>
        <w:rPr>
          <w:spacing w:val="-5"/>
          <w:sz w:val="20"/>
        </w:rPr>
        <w:t> </w:t>
      </w:r>
      <w:r>
        <w:rPr>
          <w:sz w:val="20"/>
        </w:rPr>
        <w:t>February</w:t>
      </w:r>
      <w:r>
        <w:rPr>
          <w:spacing w:val="-6"/>
          <w:sz w:val="20"/>
        </w:rPr>
        <w:t> </w:t>
      </w:r>
      <w:r>
        <w:rPr>
          <w:sz w:val="20"/>
        </w:rPr>
        <w:t>15,</w:t>
      </w:r>
      <w:r>
        <w:rPr>
          <w:spacing w:val="-6"/>
          <w:sz w:val="20"/>
        </w:rPr>
        <w:t> </w:t>
      </w:r>
      <w:r>
        <w:rPr>
          <w:sz w:val="20"/>
        </w:rPr>
        <w:t>2019,</w:t>
      </w:r>
      <w:r>
        <w:rPr>
          <w:spacing w:val="-6"/>
          <w:sz w:val="20"/>
        </w:rPr>
        <w:t> </w:t>
      </w:r>
      <w:r>
        <w:rPr>
          <w:sz w:val="20"/>
        </w:rPr>
        <w:t>after</w:t>
      </w:r>
      <w:r>
        <w:rPr>
          <w:spacing w:val="-5"/>
          <w:sz w:val="20"/>
        </w:rPr>
        <w:t> </w:t>
      </w:r>
      <w:r>
        <w:rPr>
          <w:sz w:val="20"/>
        </w:rPr>
        <w:t>a</w:t>
      </w:r>
      <w:r>
        <w:rPr>
          <w:spacing w:val="-6"/>
          <w:sz w:val="20"/>
        </w:rPr>
        <w:t> </w:t>
      </w:r>
      <w:r>
        <w:rPr>
          <w:sz w:val="20"/>
        </w:rPr>
        <w:t>several-hour</w:t>
      </w:r>
      <w:r>
        <w:rPr>
          <w:spacing w:val="-4"/>
          <w:sz w:val="20"/>
        </w:rPr>
        <w:t> </w:t>
      </w:r>
      <w:r>
        <w:rPr>
          <w:sz w:val="20"/>
        </w:rPr>
        <w:t>in</w:t>
      </w:r>
      <w:r>
        <w:rPr>
          <w:spacing w:val="-6"/>
          <w:sz w:val="20"/>
        </w:rPr>
        <w:t> </w:t>
      </w:r>
      <w:r>
        <w:rPr>
          <w:sz w:val="20"/>
        </w:rPr>
        <w:t>person</w:t>
      </w:r>
      <w:r>
        <w:rPr>
          <w:spacing w:val="-6"/>
          <w:sz w:val="20"/>
        </w:rPr>
        <w:t> </w:t>
      </w:r>
      <w:r>
        <w:rPr>
          <w:sz w:val="20"/>
        </w:rPr>
        <w:t>meeting</w:t>
      </w:r>
      <w:r>
        <w:rPr>
          <w:spacing w:val="-5"/>
          <w:sz w:val="20"/>
        </w:rPr>
        <w:t> </w:t>
      </w:r>
      <w:r>
        <w:rPr>
          <w:sz w:val="20"/>
        </w:rPr>
        <w:t>in</w:t>
      </w:r>
      <w:r>
        <w:rPr>
          <w:spacing w:val="-6"/>
          <w:sz w:val="20"/>
        </w:rPr>
        <w:t> </w:t>
      </w:r>
      <w:r>
        <w:rPr>
          <w:sz w:val="20"/>
        </w:rPr>
        <w:t>the</w:t>
      </w:r>
      <w:r>
        <w:rPr>
          <w:spacing w:val="-5"/>
          <w:sz w:val="20"/>
        </w:rPr>
        <w:t> </w:t>
      </w:r>
      <w:r>
        <w:rPr>
          <w:sz w:val="20"/>
        </w:rPr>
        <w:t>Karnalyte</w:t>
      </w:r>
      <w:r>
        <w:rPr>
          <w:spacing w:val="-6"/>
          <w:sz w:val="20"/>
        </w:rPr>
        <w:t> </w:t>
      </w:r>
      <w:r>
        <w:rPr>
          <w:sz w:val="20"/>
        </w:rPr>
        <w:t>offices,</w:t>
      </w:r>
      <w:r>
        <w:rPr>
          <w:spacing w:val="-5"/>
          <w:sz w:val="20"/>
        </w:rPr>
        <w:t> </w:t>
      </w:r>
      <w:r>
        <w:rPr>
          <w:sz w:val="20"/>
        </w:rPr>
        <w:t>attended</w:t>
      </w:r>
      <w:r>
        <w:rPr>
          <w:spacing w:val="-5"/>
          <w:sz w:val="20"/>
        </w:rPr>
        <w:t> </w:t>
      </w:r>
      <w:r>
        <w:rPr>
          <w:sz w:val="20"/>
        </w:rPr>
        <w:t>by the</w:t>
      </w:r>
      <w:r>
        <w:rPr>
          <w:spacing w:val="-10"/>
          <w:sz w:val="20"/>
        </w:rPr>
        <w:t> </w:t>
      </w:r>
      <w:r>
        <w:rPr>
          <w:sz w:val="20"/>
        </w:rPr>
        <w:t>GSFC</w:t>
      </w:r>
      <w:r>
        <w:rPr>
          <w:spacing w:val="-9"/>
          <w:sz w:val="20"/>
        </w:rPr>
        <w:t> </w:t>
      </w:r>
      <w:r>
        <w:rPr>
          <w:sz w:val="20"/>
        </w:rPr>
        <w:t>MD</w:t>
      </w:r>
      <w:r>
        <w:rPr>
          <w:spacing w:val="-9"/>
          <w:sz w:val="20"/>
        </w:rPr>
        <w:t> </w:t>
      </w:r>
      <w:r>
        <w:rPr>
          <w:sz w:val="20"/>
        </w:rPr>
        <w:t>(who</w:t>
      </w:r>
      <w:r>
        <w:rPr>
          <w:spacing w:val="-10"/>
          <w:sz w:val="20"/>
        </w:rPr>
        <w:t> </w:t>
      </w:r>
      <w:r>
        <w:rPr>
          <w:sz w:val="20"/>
        </w:rPr>
        <w:t>was</w:t>
      </w:r>
      <w:r>
        <w:rPr>
          <w:spacing w:val="-9"/>
          <w:sz w:val="20"/>
        </w:rPr>
        <w:t> </w:t>
      </w:r>
      <w:r>
        <w:rPr>
          <w:sz w:val="20"/>
        </w:rPr>
        <w:t>not</w:t>
      </w:r>
      <w:r>
        <w:rPr>
          <w:spacing w:val="-10"/>
          <w:sz w:val="20"/>
        </w:rPr>
        <w:t> </w:t>
      </w:r>
      <w:r>
        <w:rPr>
          <w:sz w:val="20"/>
        </w:rPr>
        <w:t>a</w:t>
      </w:r>
      <w:r>
        <w:rPr>
          <w:spacing w:val="-9"/>
          <w:sz w:val="20"/>
        </w:rPr>
        <w:t> </w:t>
      </w:r>
      <w:r>
        <w:rPr>
          <w:sz w:val="20"/>
        </w:rPr>
        <w:t>member</w:t>
      </w:r>
      <w:r>
        <w:rPr>
          <w:spacing w:val="-10"/>
          <w:sz w:val="20"/>
        </w:rPr>
        <w:t> </w:t>
      </w:r>
      <w:r>
        <w:rPr>
          <w:sz w:val="20"/>
        </w:rPr>
        <w:t>of</w:t>
      </w:r>
      <w:r>
        <w:rPr>
          <w:spacing w:val="-9"/>
          <w:sz w:val="20"/>
        </w:rPr>
        <w:t> </w:t>
      </w:r>
      <w:r>
        <w:rPr>
          <w:sz w:val="20"/>
        </w:rPr>
        <w:t>the</w:t>
      </w:r>
      <w:r>
        <w:rPr>
          <w:spacing w:val="-9"/>
          <w:sz w:val="20"/>
        </w:rPr>
        <w:t> </w:t>
      </w:r>
      <w:r>
        <w:rPr>
          <w:sz w:val="20"/>
        </w:rPr>
        <w:t>KRN</w:t>
      </w:r>
      <w:r>
        <w:rPr>
          <w:spacing w:val="-10"/>
          <w:sz w:val="20"/>
        </w:rPr>
        <w:t> </w:t>
      </w:r>
      <w:r>
        <w:rPr>
          <w:sz w:val="20"/>
        </w:rPr>
        <w:t>Board),</w:t>
      </w:r>
      <w:r>
        <w:rPr>
          <w:spacing w:val="-9"/>
          <w:sz w:val="20"/>
        </w:rPr>
        <w:t> </w:t>
      </w:r>
      <w:r>
        <w:rPr>
          <w:sz w:val="20"/>
        </w:rPr>
        <w:t>Varma,</w:t>
      </w:r>
      <w:r>
        <w:rPr>
          <w:spacing w:val="-10"/>
          <w:sz w:val="20"/>
        </w:rPr>
        <w:t> </w:t>
      </w:r>
      <w:r>
        <w:rPr>
          <w:sz w:val="20"/>
        </w:rPr>
        <w:t>Nanavaty,</w:t>
      </w:r>
      <w:r>
        <w:rPr>
          <w:spacing w:val="-10"/>
          <w:sz w:val="20"/>
        </w:rPr>
        <w:t> </w:t>
      </w:r>
      <w:r>
        <w:rPr>
          <w:sz w:val="20"/>
        </w:rPr>
        <w:t>Rowan</w:t>
      </w:r>
      <w:r>
        <w:rPr>
          <w:spacing w:val="-9"/>
          <w:sz w:val="20"/>
        </w:rPr>
        <w:t> </w:t>
      </w:r>
      <w:r>
        <w:rPr>
          <w:sz w:val="20"/>
        </w:rPr>
        <w:t>and</w:t>
      </w:r>
      <w:r>
        <w:rPr>
          <w:spacing w:val="-11"/>
          <w:sz w:val="20"/>
        </w:rPr>
        <w:t> </w:t>
      </w:r>
      <w:r>
        <w:rPr>
          <w:sz w:val="20"/>
        </w:rPr>
        <w:t>Favreau, I was called into their meeting. Of the 12 items I had asked for, 10 were accepted, one was not approved, and a negotiation on the final point regarding severance resulted in an agreement on severance being one (1) year salary for termination without cause or on a change of</w:t>
      </w:r>
      <w:r>
        <w:rPr>
          <w:spacing w:val="-26"/>
          <w:sz w:val="20"/>
        </w:rPr>
        <w:t> </w:t>
      </w:r>
      <w:r>
        <w:rPr>
          <w:sz w:val="20"/>
        </w:rPr>
        <w:t>control.</w:t>
      </w:r>
    </w:p>
    <w:p>
      <w:pPr>
        <w:pStyle w:val="ListParagraph"/>
        <w:numPr>
          <w:ilvl w:val="0"/>
          <w:numId w:val="1"/>
        </w:numPr>
        <w:tabs>
          <w:tab w:pos="840" w:val="left" w:leader="none"/>
        </w:tabs>
        <w:spacing w:line="240" w:lineRule="auto" w:before="160" w:after="0"/>
        <w:ind w:left="839" w:right="0" w:hanging="721"/>
        <w:jc w:val="both"/>
        <w:rPr>
          <w:sz w:val="20"/>
        </w:rPr>
      </w:pPr>
      <w:r>
        <w:rPr>
          <w:sz w:val="20"/>
        </w:rPr>
        <w:t>I</w:t>
      </w:r>
      <w:r>
        <w:rPr>
          <w:spacing w:val="-1"/>
          <w:sz w:val="20"/>
        </w:rPr>
        <w:t> </w:t>
      </w:r>
      <w:r>
        <w:rPr>
          <w:sz w:val="20"/>
        </w:rPr>
        <w:t>knew:</w:t>
      </w:r>
    </w:p>
    <w:p>
      <w:pPr>
        <w:pStyle w:val="BodyText"/>
        <w:spacing w:before="9"/>
        <w:rPr>
          <w:sz w:val="23"/>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r>
        <w:rPr>
          <w:sz w:val="20"/>
        </w:rPr>
        <w:t>exactly what terms and conditions had been agreed to;</w:t>
      </w:r>
      <w:r>
        <w:rPr>
          <w:spacing w:val="-10"/>
          <w:sz w:val="20"/>
        </w:rPr>
        <w:t> </w:t>
      </w:r>
      <w:r>
        <w:rPr>
          <w:sz w:val="20"/>
        </w:rPr>
        <w:t>and</w:t>
      </w:r>
    </w:p>
    <w:p>
      <w:pPr>
        <w:pStyle w:val="BodyText"/>
        <w:spacing w:before="8"/>
        <w:rPr>
          <w:sz w:val="23"/>
        </w:rPr>
      </w:pPr>
    </w:p>
    <w:p>
      <w:pPr>
        <w:pStyle w:val="ListParagraph"/>
        <w:numPr>
          <w:ilvl w:val="1"/>
          <w:numId w:val="1"/>
        </w:numPr>
        <w:tabs>
          <w:tab w:pos="1559" w:val="left" w:leader="none"/>
          <w:tab w:pos="1560" w:val="left" w:leader="none"/>
        </w:tabs>
        <w:spacing w:line="352" w:lineRule="auto" w:before="0" w:after="0"/>
        <w:ind w:left="1559" w:right="1159" w:hanging="720"/>
        <w:jc w:val="both"/>
        <w:rPr>
          <w:rFonts w:ascii="Symbol" w:hAnsi="Symbol"/>
          <w:sz w:val="20"/>
        </w:rPr>
      </w:pPr>
      <w:r>
        <w:rPr>
          <w:sz w:val="20"/>
        </w:rPr>
        <w:t>that</w:t>
      </w:r>
      <w:r>
        <w:rPr>
          <w:spacing w:val="-11"/>
          <w:sz w:val="20"/>
        </w:rPr>
        <w:t> </w:t>
      </w:r>
      <w:r>
        <w:rPr>
          <w:sz w:val="20"/>
        </w:rPr>
        <w:t>all</w:t>
      </w:r>
      <w:r>
        <w:rPr>
          <w:spacing w:val="-9"/>
          <w:sz w:val="20"/>
        </w:rPr>
        <w:t> </w:t>
      </w:r>
      <w:r>
        <w:rPr>
          <w:sz w:val="20"/>
        </w:rPr>
        <w:t>of</w:t>
      </w:r>
      <w:r>
        <w:rPr>
          <w:spacing w:val="-10"/>
          <w:sz w:val="20"/>
        </w:rPr>
        <w:t> </w:t>
      </w:r>
      <w:r>
        <w:rPr>
          <w:sz w:val="20"/>
        </w:rPr>
        <w:t>the</w:t>
      </w:r>
      <w:r>
        <w:rPr>
          <w:spacing w:val="-9"/>
          <w:sz w:val="20"/>
        </w:rPr>
        <w:t> </w:t>
      </w:r>
      <w:r>
        <w:rPr>
          <w:sz w:val="20"/>
        </w:rPr>
        <w:t>material</w:t>
      </w:r>
      <w:r>
        <w:rPr>
          <w:spacing w:val="-9"/>
          <w:sz w:val="20"/>
        </w:rPr>
        <w:t> </w:t>
      </w:r>
      <w:r>
        <w:rPr>
          <w:sz w:val="20"/>
        </w:rPr>
        <w:t>terms</w:t>
      </w:r>
      <w:r>
        <w:rPr>
          <w:spacing w:val="-8"/>
          <w:sz w:val="20"/>
        </w:rPr>
        <w:t> </w:t>
      </w:r>
      <w:r>
        <w:rPr>
          <w:sz w:val="20"/>
        </w:rPr>
        <w:t>and</w:t>
      </w:r>
      <w:r>
        <w:rPr>
          <w:spacing w:val="-10"/>
          <w:sz w:val="20"/>
        </w:rPr>
        <w:t> </w:t>
      </w:r>
      <w:r>
        <w:rPr>
          <w:sz w:val="20"/>
        </w:rPr>
        <w:t>conditions</w:t>
      </w:r>
      <w:r>
        <w:rPr>
          <w:spacing w:val="-8"/>
          <w:sz w:val="20"/>
        </w:rPr>
        <w:t> </w:t>
      </w:r>
      <w:r>
        <w:rPr>
          <w:sz w:val="20"/>
        </w:rPr>
        <w:t>were</w:t>
      </w:r>
      <w:r>
        <w:rPr>
          <w:spacing w:val="-9"/>
          <w:sz w:val="20"/>
        </w:rPr>
        <w:t> </w:t>
      </w:r>
      <w:r>
        <w:rPr>
          <w:sz w:val="20"/>
        </w:rPr>
        <w:t>agreed,</w:t>
      </w:r>
      <w:r>
        <w:rPr>
          <w:spacing w:val="-11"/>
          <w:sz w:val="20"/>
        </w:rPr>
        <w:t> </w:t>
      </w:r>
      <w:r>
        <w:rPr>
          <w:sz w:val="20"/>
        </w:rPr>
        <w:t>and</w:t>
      </w:r>
      <w:r>
        <w:rPr>
          <w:spacing w:val="-9"/>
          <w:sz w:val="20"/>
        </w:rPr>
        <w:t> </w:t>
      </w:r>
      <w:r>
        <w:rPr>
          <w:sz w:val="20"/>
        </w:rPr>
        <w:t>there</w:t>
      </w:r>
      <w:r>
        <w:rPr>
          <w:spacing w:val="-9"/>
          <w:sz w:val="20"/>
        </w:rPr>
        <w:t> </w:t>
      </w:r>
      <w:r>
        <w:rPr>
          <w:sz w:val="20"/>
        </w:rPr>
        <w:t>were</w:t>
      </w:r>
      <w:r>
        <w:rPr>
          <w:spacing w:val="-10"/>
          <w:sz w:val="20"/>
        </w:rPr>
        <w:t> </w:t>
      </w:r>
      <w:r>
        <w:rPr>
          <w:sz w:val="20"/>
        </w:rPr>
        <w:t>no</w:t>
      </w:r>
      <w:r>
        <w:rPr>
          <w:spacing w:val="-10"/>
          <w:sz w:val="20"/>
        </w:rPr>
        <w:t> </w:t>
      </w:r>
      <w:r>
        <w:rPr>
          <w:sz w:val="20"/>
        </w:rPr>
        <w:t>material</w:t>
      </w:r>
      <w:r>
        <w:rPr>
          <w:spacing w:val="-9"/>
          <w:sz w:val="20"/>
        </w:rPr>
        <w:t> </w:t>
      </w:r>
      <w:r>
        <w:rPr>
          <w:sz w:val="20"/>
        </w:rPr>
        <w:t>terms and conditions left to be</w:t>
      </w:r>
      <w:r>
        <w:rPr>
          <w:spacing w:val="-5"/>
          <w:sz w:val="20"/>
        </w:rPr>
        <w:t> </w:t>
      </w:r>
      <w:r>
        <w:rPr>
          <w:sz w:val="20"/>
        </w:rPr>
        <w:t>agreed.</w:t>
      </w:r>
    </w:p>
    <w:p>
      <w:pPr>
        <w:pStyle w:val="ListParagraph"/>
        <w:numPr>
          <w:ilvl w:val="0"/>
          <w:numId w:val="1"/>
        </w:numPr>
        <w:tabs>
          <w:tab w:pos="840" w:val="left" w:leader="none"/>
        </w:tabs>
        <w:spacing w:line="360" w:lineRule="auto" w:before="165" w:after="0"/>
        <w:ind w:left="839" w:right="1158" w:hanging="720"/>
        <w:jc w:val="both"/>
        <w:rPr>
          <w:sz w:val="20"/>
        </w:rPr>
      </w:pPr>
      <w:r>
        <w:rPr>
          <w:sz w:val="20"/>
        </w:rPr>
        <w:t>I am advised by Rowan, and verily believe, that the GSFC MD asked for a term sheet/offer letter (the “</w:t>
      </w:r>
      <w:r>
        <w:rPr>
          <w:b/>
          <w:sz w:val="20"/>
        </w:rPr>
        <w:t>CEO Offer Letter</w:t>
      </w:r>
      <w:r>
        <w:rPr>
          <w:sz w:val="20"/>
        </w:rPr>
        <w:t>”) to be prepared so he could sign it before he left the next day to return to India. I was travelling with the GSFC MD the next day to Vancouver, prior his return to</w:t>
      </w:r>
      <w:r>
        <w:rPr>
          <w:spacing w:val="-27"/>
          <w:sz w:val="20"/>
        </w:rPr>
        <w:t> </w:t>
      </w:r>
      <w:r>
        <w:rPr>
          <w:sz w:val="20"/>
        </w:rPr>
        <w:t>India.</w:t>
      </w:r>
    </w:p>
    <w:p>
      <w:pPr>
        <w:pStyle w:val="BodyText"/>
        <w:spacing w:before="8"/>
      </w:pPr>
    </w:p>
    <w:p>
      <w:pPr>
        <w:pStyle w:val="ListParagraph"/>
        <w:numPr>
          <w:ilvl w:val="0"/>
          <w:numId w:val="8"/>
        </w:numPr>
        <w:tabs>
          <w:tab w:pos="841" w:val="left" w:leader="none"/>
        </w:tabs>
        <w:spacing w:line="240" w:lineRule="auto" w:before="0" w:after="0"/>
        <w:ind w:left="840" w:right="0" w:hanging="721"/>
        <w:jc w:val="both"/>
        <w:rPr>
          <w:sz w:val="20"/>
        </w:rPr>
      </w:pPr>
      <w:r>
        <w:rPr>
          <w:sz w:val="20"/>
          <w:u w:val="single"/>
        </w:rPr>
        <w:t>GSFC Reneges on</w:t>
      </w:r>
      <w:r>
        <w:rPr>
          <w:spacing w:val="-2"/>
          <w:sz w:val="20"/>
          <w:u w:val="single"/>
        </w:rPr>
        <w:t> </w:t>
      </w:r>
      <w:r>
        <w:rPr>
          <w:sz w:val="20"/>
          <w:u w:val="single"/>
        </w:rPr>
        <w:t>Agreement</w:t>
      </w:r>
    </w:p>
    <w:p>
      <w:pPr>
        <w:pStyle w:val="BodyText"/>
        <w:spacing w:before="8"/>
        <w:rPr>
          <w:sz w:val="22"/>
        </w:rPr>
      </w:pPr>
    </w:p>
    <w:p>
      <w:pPr>
        <w:pStyle w:val="ListParagraph"/>
        <w:numPr>
          <w:ilvl w:val="0"/>
          <w:numId w:val="1"/>
        </w:numPr>
        <w:tabs>
          <w:tab w:pos="841" w:val="left" w:leader="none"/>
        </w:tabs>
        <w:spacing w:line="360" w:lineRule="auto" w:before="94" w:after="0"/>
        <w:ind w:left="840" w:right="1157" w:hanging="721"/>
        <w:jc w:val="both"/>
        <w:rPr>
          <w:sz w:val="20"/>
        </w:rPr>
      </w:pPr>
      <w:r>
        <w:rPr>
          <w:sz w:val="20"/>
        </w:rPr>
        <w:t>In April 2019, when Favreau had finally finished preparing the CEO Offer Letter and presented to me, it did not match what was agreed to in February 2019. I was extremely upset and stated to both Rowan and Favreau that “</w:t>
      </w:r>
      <w:r>
        <w:rPr>
          <w:i/>
          <w:sz w:val="20"/>
        </w:rPr>
        <w:t>GSFC had reneged on the deal we agreed to in</w:t>
      </w:r>
      <w:r>
        <w:rPr>
          <w:i/>
          <w:spacing w:val="-26"/>
          <w:sz w:val="20"/>
        </w:rPr>
        <w:t> </w:t>
      </w:r>
      <w:r>
        <w:rPr>
          <w:i/>
          <w:sz w:val="20"/>
        </w:rPr>
        <w:t>February</w:t>
      </w:r>
      <w:r>
        <w:rPr>
          <w:sz w:val="20"/>
        </w:rPr>
        <w:t>”.</w:t>
      </w:r>
    </w:p>
    <w:p>
      <w:pPr>
        <w:pStyle w:val="BodyText"/>
        <w:spacing w:before="11"/>
      </w:pPr>
    </w:p>
    <w:p>
      <w:pPr>
        <w:pStyle w:val="ListParagraph"/>
        <w:numPr>
          <w:ilvl w:val="0"/>
          <w:numId w:val="1"/>
        </w:numPr>
        <w:tabs>
          <w:tab w:pos="840" w:val="left" w:leader="none"/>
        </w:tabs>
        <w:spacing w:line="360" w:lineRule="auto" w:before="0" w:after="0"/>
        <w:ind w:left="839" w:right="1158" w:hanging="721"/>
        <w:jc w:val="both"/>
        <w:rPr>
          <w:sz w:val="20"/>
        </w:rPr>
      </w:pPr>
      <w:r>
        <w:rPr>
          <w:sz w:val="20"/>
        </w:rPr>
        <w:t>Favreau told me that Varma had a different recollection of what was agreed to in February, and what Varma said was</w:t>
      </w:r>
      <w:r>
        <w:rPr>
          <w:spacing w:val="-4"/>
          <w:sz w:val="20"/>
        </w:rPr>
        <w:t> </w:t>
      </w:r>
      <w:r>
        <w:rPr>
          <w:sz w:val="20"/>
        </w:rPr>
        <w:t>final.</w:t>
      </w:r>
    </w:p>
    <w:p>
      <w:pPr>
        <w:pStyle w:val="BodyText"/>
        <w:spacing w:before="10"/>
      </w:pPr>
    </w:p>
    <w:p>
      <w:pPr>
        <w:pStyle w:val="ListParagraph"/>
        <w:numPr>
          <w:ilvl w:val="0"/>
          <w:numId w:val="1"/>
        </w:numPr>
        <w:tabs>
          <w:tab w:pos="840" w:val="left" w:leader="none"/>
        </w:tabs>
        <w:spacing w:line="360" w:lineRule="auto" w:before="0" w:after="0"/>
        <w:ind w:left="839" w:right="1157" w:hanging="720"/>
        <w:jc w:val="both"/>
        <w:rPr>
          <w:sz w:val="20"/>
        </w:rPr>
      </w:pPr>
      <w:r>
        <w:rPr>
          <w:sz w:val="20"/>
        </w:rPr>
        <w:t>I signed the Offer Letter </w:t>
      </w:r>
      <w:r>
        <w:rPr>
          <w:i/>
          <w:sz w:val="20"/>
        </w:rPr>
        <w:t>“under protest</w:t>
      </w:r>
      <w:r>
        <w:rPr>
          <w:sz w:val="20"/>
        </w:rPr>
        <w:t>” and made it very clear to Rowan and Favreau that GSFC and Varma had reneged on their agreement. I was extremely upset, as I had re-located from Vancouver to Saskatoon, moved my family to Saskatoon, and purchased property in Saskatoon, on the basis of what had been agreed to at that meeting on February 15,</w:t>
      </w:r>
      <w:r>
        <w:rPr>
          <w:spacing w:val="-17"/>
          <w:sz w:val="20"/>
        </w:rPr>
        <w:t> </w:t>
      </w:r>
      <w:r>
        <w:rPr>
          <w:sz w:val="20"/>
        </w:rPr>
        <w:t>2019.</w:t>
      </w:r>
    </w:p>
    <w:p>
      <w:pPr>
        <w:spacing w:after="0" w:line="360" w:lineRule="auto"/>
        <w:jc w:val="both"/>
        <w:rPr>
          <w:sz w:val="20"/>
        </w:rPr>
        <w:sectPr>
          <w:footerReference w:type="default" r:id="rId15"/>
          <w:pgSz w:w="12240" w:h="15840"/>
          <w:pgMar w:footer="1259" w:header="0" w:top="1220" w:bottom="1440" w:left="1320" w:right="280"/>
          <w:pgNumType w:start="21"/>
        </w:sectPr>
      </w:pPr>
    </w:p>
    <w:p>
      <w:pPr>
        <w:pStyle w:val="ListParagraph"/>
        <w:numPr>
          <w:ilvl w:val="0"/>
          <w:numId w:val="1"/>
        </w:numPr>
        <w:tabs>
          <w:tab w:pos="839" w:val="left" w:leader="none"/>
          <w:tab w:pos="841" w:val="left" w:leader="none"/>
        </w:tabs>
        <w:spacing w:line="240" w:lineRule="auto" w:before="75" w:after="0"/>
        <w:ind w:left="840" w:right="0" w:hanging="721"/>
        <w:jc w:val="left"/>
        <w:rPr>
          <w:sz w:val="20"/>
        </w:rPr>
      </w:pPr>
      <w:r>
        <w:rPr>
          <w:sz w:val="20"/>
        </w:rPr>
        <w:t>I verily believe</w:t>
      </w:r>
      <w:r>
        <w:rPr>
          <w:spacing w:val="-4"/>
          <w:sz w:val="20"/>
        </w:rPr>
        <w:t> </w:t>
      </w:r>
      <w:r>
        <w:rPr>
          <w:sz w:val="20"/>
        </w:rPr>
        <w:t>that:</w:t>
      </w:r>
    </w:p>
    <w:p>
      <w:pPr>
        <w:pStyle w:val="BodyText"/>
        <w:spacing w:before="10"/>
        <w:rPr>
          <w:sz w:val="30"/>
        </w:rPr>
      </w:pPr>
    </w:p>
    <w:p>
      <w:pPr>
        <w:pStyle w:val="ListParagraph"/>
        <w:numPr>
          <w:ilvl w:val="1"/>
          <w:numId w:val="1"/>
        </w:numPr>
        <w:tabs>
          <w:tab w:pos="1559" w:val="left" w:leader="none"/>
          <w:tab w:pos="1560" w:val="left" w:leader="none"/>
        </w:tabs>
        <w:spacing w:line="240" w:lineRule="auto" w:before="1" w:after="0"/>
        <w:ind w:left="1559" w:right="0" w:hanging="721"/>
        <w:jc w:val="left"/>
        <w:rPr>
          <w:rFonts w:ascii="Symbol" w:hAnsi="Symbol"/>
          <w:sz w:val="20"/>
        </w:rPr>
      </w:pPr>
      <w:r>
        <w:rPr>
          <w:sz w:val="20"/>
        </w:rPr>
        <w:t>Varma was lying about what he agreed to in</w:t>
      </w:r>
      <w:r>
        <w:rPr>
          <w:spacing w:val="-11"/>
          <w:sz w:val="20"/>
        </w:rPr>
        <w:t> </w:t>
      </w:r>
      <w:r>
        <w:rPr>
          <w:sz w:val="20"/>
        </w:rPr>
        <w:t>February;</w:t>
      </w:r>
    </w:p>
    <w:p>
      <w:pPr>
        <w:pStyle w:val="BodyText"/>
        <w:spacing w:before="8"/>
        <w:rPr>
          <w:sz w:val="30"/>
        </w:rPr>
      </w:pPr>
    </w:p>
    <w:p>
      <w:pPr>
        <w:pStyle w:val="ListParagraph"/>
        <w:numPr>
          <w:ilvl w:val="1"/>
          <w:numId w:val="1"/>
        </w:numPr>
        <w:tabs>
          <w:tab w:pos="1559" w:val="left" w:leader="none"/>
          <w:tab w:pos="1560" w:val="left" w:leader="none"/>
        </w:tabs>
        <w:spacing w:line="350" w:lineRule="auto" w:before="0" w:after="0"/>
        <w:ind w:left="1559" w:right="1158" w:hanging="721"/>
        <w:jc w:val="both"/>
        <w:rPr>
          <w:rFonts w:ascii="Symbol" w:hAnsi="Symbol"/>
          <w:sz w:val="20"/>
        </w:rPr>
      </w:pPr>
      <w:r>
        <w:rPr>
          <w:sz w:val="20"/>
        </w:rPr>
        <w:t>Favreau knew exactly what had been agreed to in February, and purposely chose not to correct</w:t>
      </w:r>
      <w:r>
        <w:rPr>
          <w:spacing w:val="-2"/>
          <w:sz w:val="20"/>
        </w:rPr>
        <w:t> </w:t>
      </w:r>
      <w:r>
        <w:rPr>
          <w:sz w:val="20"/>
        </w:rPr>
        <w:t>Varma;</w:t>
      </w:r>
    </w:p>
    <w:p>
      <w:pPr>
        <w:pStyle w:val="BodyText"/>
        <w:spacing w:before="9"/>
        <w:rPr>
          <w:sz w:val="21"/>
        </w:rPr>
      </w:pPr>
    </w:p>
    <w:p>
      <w:pPr>
        <w:pStyle w:val="ListParagraph"/>
        <w:numPr>
          <w:ilvl w:val="1"/>
          <w:numId w:val="1"/>
        </w:numPr>
        <w:tabs>
          <w:tab w:pos="1559" w:val="left" w:leader="none"/>
          <w:tab w:pos="1560" w:val="left" w:leader="none"/>
        </w:tabs>
        <w:spacing w:line="355" w:lineRule="auto" w:before="0" w:after="0"/>
        <w:ind w:left="1559" w:right="1158" w:hanging="721"/>
        <w:jc w:val="both"/>
        <w:rPr>
          <w:rFonts w:ascii="Symbol" w:hAnsi="Symbol"/>
          <w:sz w:val="20"/>
        </w:rPr>
      </w:pPr>
      <w:r>
        <w:rPr>
          <w:sz w:val="20"/>
        </w:rPr>
        <w:t>by April 2019, Varma had changed his mind, and then intentionally and shamelessly lied and said that what he was thinking in April, was in fact what he agreed to earlier in February;</w:t>
      </w:r>
      <w:r>
        <w:rPr>
          <w:spacing w:val="-2"/>
          <w:sz w:val="20"/>
        </w:rPr>
        <w:t> </w:t>
      </w:r>
      <w:r>
        <w:rPr>
          <w:sz w:val="20"/>
        </w:rPr>
        <w:t>and</w:t>
      </w:r>
    </w:p>
    <w:p>
      <w:pPr>
        <w:pStyle w:val="BodyText"/>
        <w:spacing w:before="4"/>
        <w:rPr>
          <w:sz w:val="21"/>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r>
        <w:rPr>
          <w:sz w:val="20"/>
        </w:rPr>
        <w:t>this</w:t>
      </w:r>
      <w:r>
        <w:rPr>
          <w:spacing w:val="-6"/>
          <w:sz w:val="20"/>
        </w:rPr>
        <w:t> </w:t>
      </w:r>
      <w:r>
        <w:rPr>
          <w:sz w:val="20"/>
        </w:rPr>
        <w:t>was</w:t>
      </w:r>
      <w:r>
        <w:rPr>
          <w:spacing w:val="-7"/>
          <w:sz w:val="20"/>
        </w:rPr>
        <w:t> </w:t>
      </w:r>
      <w:r>
        <w:rPr>
          <w:sz w:val="20"/>
        </w:rPr>
        <w:t>a</w:t>
      </w:r>
      <w:r>
        <w:rPr>
          <w:spacing w:val="-5"/>
          <w:sz w:val="20"/>
        </w:rPr>
        <w:t> </w:t>
      </w:r>
      <w:r>
        <w:rPr>
          <w:sz w:val="20"/>
        </w:rPr>
        <w:t>pattern</w:t>
      </w:r>
      <w:r>
        <w:rPr>
          <w:spacing w:val="-6"/>
          <w:sz w:val="20"/>
        </w:rPr>
        <w:t> </w:t>
      </w:r>
      <w:r>
        <w:rPr>
          <w:sz w:val="20"/>
        </w:rPr>
        <w:t>of</w:t>
      </w:r>
      <w:r>
        <w:rPr>
          <w:spacing w:val="-6"/>
          <w:sz w:val="20"/>
        </w:rPr>
        <w:t> </w:t>
      </w:r>
      <w:r>
        <w:rPr>
          <w:sz w:val="20"/>
        </w:rPr>
        <w:t>behaviour</w:t>
      </w:r>
      <w:r>
        <w:rPr>
          <w:spacing w:val="-7"/>
          <w:sz w:val="20"/>
        </w:rPr>
        <w:t> </w:t>
      </w:r>
      <w:r>
        <w:rPr>
          <w:sz w:val="20"/>
        </w:rPr>
        <w:t>on</w:t>
      </w:r>
      <w:r>
        <w:rPr>
          <w:spacing w:val="-5"/>
          <w:sz w:val="20"/>
        </w:rPr>
        <w:t> </w:t>
      </w:r>
      <w:r>
        <w:rPr>
          <w:sz w:val="20"/>
        </w:rPr>
        <w:t>the</w:t>
      </w:r>
      <w:r>
        <w:rPr>
          <w:spacing w:val="-8"/>
          <w:sz w:val="20"/>
        </w:rPr>
        <w:t> </w:t>
      </w:r>
      <w:r>
        <w:rPr>
          <w:sz w:val="20"/>
        </w:rPr>
        <w:t>part</w:t>
      </w:r>
      <w:r>
        <w:rPr>
          <w:spacing w:val="-7"/>
          <w:sz w:val="20"/>
        </w:rPr>
        <w:t> </w:t>
      </w:r>
      <w:r>
        <w:rPr>
          <w:sz w:val="20"/>
        </w:rPr>
        <w:t>of</w:t>
      </w:r>
      <w:r>
        <w:rPr>
          <w:spacing w:val="-6"/>
          <w:sz w:val="20"/>
        </w:rPr>
        <w:t> </w:t>
      </w:r>
      <w:r>
        <w:rPr>
          <w:sz w:val="20"/>
        </w:rPr>
        <w:t>Varma,</w:t>
      </w:r>
      <w:r>
        <w:rPr>
          <w:spacing w:val="-7"/>
          <w:sz w:val="20"/>
        </w:rPr>
        <w:t> </w:t>
      </w:r>
      <w:r>
        <w:rPr>
          <w:sz w:val="20"/>
        </w:rPr>
        <w:t>and</w:t>
      </w:r>
      <w:r>
        <w:rPr>
          <w:spacing w:val="-5"/>
          <w:sz w:val="20"/>
        </w:rPr>
        <w:t> </w:t>
      </w:r>
      <w:r>
        <w:rPr>
          <w:sz w:val="20"/>
        </w:rPr>
        <w:t>Favreau,</w:t>
      </w:r>
      <w:r>
        <w:rPr>
          <w:spacing w:val="-7"/>
          <w:sz w:val="20"/>
        </w:rPr>
        <w:t> </w:t>
      </w:r>
      <w:r>
        <w:rPr>
          <w:sz w:val="20"/>
        </w:rPr>
        <w:t>that</w:t>
      </w:r>
      <w:r>
        <w:rPr>
          <w:spacing w:val="-6"/>
          <w:sz w:val="20"/>
        </w:rPr>
        <w:t> </w:t>
      </w:r>
      <w:r>
        <w:rPr>
          <w:sz w:val="20"/>
        </w:rPr>
        <w:t>would</w:t>
      </w:r>
      <w:r>
        <w:rPr>
          <w:spacing w:val="-8"/>
          <w:sz w:val="20"/>
        </w:rPr>
        <w:t> </w:t>
      </w:r>
      <w:r>
        <w:rPr>
          <w:sz w:val="20"/>
        </w:rPr>
        <w:t>repeat</w:t>
      </w:r>
      <w:r>
        <w:rPr>
          <w:spacing w:val="-7"/>
          <w:sz w:val="20"/>
        </w:rPr>
        <w:t> </w:t>
      </w:r>
      <w:r>
        <w:rPr>
          <w:sz w:val="20"/>
        </w:rPr>
        <w:t>itself.</w:t>
      </w:r>
    </w:p>
    <w:p>
      <w:pPr>
        <w:pStyle w:val="BodyText"/>
        <w:spacing w:before="8"/>
        <w:rPr>
          <w:sz w:val="30"/>
        </w:rPr>
      </w:pPr>
    </w:p>
    <w:p>
      <w:pPr>
        <w:pStyle w:val="Heading1"/>
        <w:ind w:left="119" w:firstLine="0"/>
      </w:pPr>
      <w:r>
        <w:rPr/>
        <w:t>Canadian Business Practices and the Nitrogen Project</w:t>
      </w:r>
    </w:p>
    <w:p>
      <w:pPr>
        <w:pStyle w:val="BodyText"/>
        <w:spacing w:before="9"/>
        <w:rPr>
          <w:b/>
          <w:sz w:val="30"/>
        </w:rPr>
      </w:pPr>
    </w:p>
    <w:p>
      <w:pPr>
        <w:pStyle w:val="ListParagraph"/>
        <w:numPr>
          <w:ilvl w:val="0"/>
          <w:numId w:val="9"/>
        </w:numPr>
        <w:tabs>
          <w:tab w:pos="839" w:val="left" w:leader="none"/>
          <w:tab w:pos="841" w:val="left" w:leader="none"/>
        </w:tabs>
        <w:spacing w:line="240" w:lineRule="auto" w:before="0" w:after="0"/>
        <w:ind w:left="840" w:right="0" w:hanging="721"/>
        <w:jc w:val="left"/>
        <w:rPr>
          <w:b/>
          <w:sz w:val="20"/>
        </w:rPr>
      </w:pPr>
      <w:r>
        <w:rPr>
          <w:b/>
          <w:sz w:val="20"/>
          <w:u w:val="thick"/>
        </w:rPr>
        <w:t>Canadian Business</w:t>
      </w:r>
      <w:r>
        <w:rPr>
          <w:b/>
          <w:spacing w:val="-3"/>
          <w:sz w:val="20"/>
          <w:u w:val="thick"/>
        </w:rPr>
        <w:t> </w:t>
      </w:r>
      <w:r>
        <w:rPr>
          <w:b/>
          <w:sz w:val="20"/>
          <w:u w:val="thick"/>
        </w:rPr>
        <w:t>Practice</w:t>
      </w:r>
    </w:p>
    <w:p>
      <w:pPr>
        <w:pStyle w:val="BodyText"/>
        <w:spacing w:before="9"/>
        <w:rPr>
          <w:b/>
          <w:sz w:val="22"/>
        </w:rPr>
      </w:pPr>
    </w:p>
    <w:p>
      <w:pPr>
        <w:pStyle w:val="ListParagraph"/>
        <w:numPr>
          <w:ilvl w:val="0"/>
          <w:numId w:val="1"/>
        </w:numPr>
        <w:tabs>
          <w:tab w:pos="841" w:val="left" w:leader="none"/>
        </w:tabs>
        <w:spacing w:line="360" w:lineRule="auto" w:before="94" w:after="0"/>
        <w:ind w:left="840" w:right="1156" w:hanging="721"/>
        <w:jc w:val="both"/>
        <w:rPr>
          <w:sz w:val="20"/>
        </w:rPr>
      </w:pPr>
      <w:r>
        <w:rPr>
          <w:sz w:val="20"/>
        </w:rPr>
        <w:t>Based upon my 35 years experience in developing, permitting, financing and constructing mines, one</w:t>
      </w:r>
      <w:r>
        <w:rPr>
          <w:spacing w:val="-6"/>
          <w:sz w:val="20"/>
        </w:rPr>
        <w:t> </w:t>
      </w:r>
      <w:r>
        <w:rPr>
          <w:sz w:val="20"/>
        </w:rPr>
        <w:t>of</w:t>
      </w:r>
      <w:r>
        <w:rPr>
          <w:spacing w:val="-7"/>
          <w:sz w:val="20"/>
        </w:rPr>
        <w:t> </w:t>
      </w:r>
      <w:r>
        <w:rPr>
          <w:sz w:val="20"/>
        </w:rPr>
        <w:t>the</w:t>
      </w:r>
      <w:r>
        <w:rPr>
          <w:spacing w:val="-6"/>
          <w:sz w:val="20"/>
        </w:rPr>
        <w:t> </w:t>
      </w:r>
      <w:r>
        <w:rPr>
          <w:sz w:val="20"/>
        </w:rPr>
        <w:t>first</w:t>
      </w:r>
      <w:r>
        <w:rPr>
          <w:spacing w:val="-7"/>
          <w:sz w:val="20"/>
        </w:rPr>
        <w:t> </w:t>
      </w:r>
      <w:r>
        <w:rPr>
          <w:sz w:val="20"/>
        </w:rPr>
        <w:t>critical</w:t>
      </w:r>
      <w:r>
        <w:rPr>
          <w:spacing w:val="-6"/>
          <w:sz w:val="20"/>
        </w:rPr>
        <w:t> </w:t>
      </w:r>
      <w:r>
        <w:rPr>
          <w:sz w:val="20"/>
        </w:rPr>
        <w:t>steps</w:t>
      </w:r>
      <w:r>
        <w:rPr>
          <w:spacing w:val="-7"/>
          <w:sz w:val="20"/>
        </w:rPr>
        <w:t> </w:t>
      </w:r>
      <w:r>
        <w:rPr>
          <w:sz w:val="20"/>
        </w:rPr>
        <w:t>in</w:t>
      </w:r>
      <w:r>
        <w:rPr>
          <w:spacing w:val="-6"/>
          <w:sz w:val="20"/>
        </w:rPr>
        <w:t> </w:t>
      </w:r>
      <w:r>
        <w:rPr>
          <w:sz w:val="20"/>
        </w:rPr>
        <w:t>project</w:t>
      </w:r>
      <w:r>
        <w:rPr>
          <w:spacing w:val="-7"/>
          <w:sz w:val="20"/>
        </w:rPr>
        <w:t> </w:t>
      </w:r>
      <w:r>
        <w:rPr>
          <w:sz w:val="20"/>
        </w:rPr>
        <w:t>development</w:t>
      </w:r>
      <w:r>
        <w:rPr>
          <w:spacing w:val="-6"/>
          <w:sz w:val="20"/>
        </w:rPr>
        <w:t> </w:t>
      </w:r>
      <w:r>
        <w:rPr>
          <w:sz w:val="20"/>
        </w:rPr>
        <w:t>in</w:t>
      </w:r>
      <w:r>
        <w:rPr>
          <w:spacing w:val="-9"/>
          <w:sz w:val="20"/>
        </w:rPr>
        <w:t> </w:t>
      </w:r>
      <w:r>
        <w:rPr>
          <w:sz w:val="20"/>
        </w:rPr>
        <w:t>Canada</w:t>
      </w:r>
      <w:r>
        <w:rPr>
          <w:spacing w:val="-6"/>
          <w:sz w:val="20"/>
        </w:rPr>
        <w:t> </w:t>
      </w:r>
      <w:r>
        <w:rPr>
          <w:sz w:val="20"/>
        </w:rPr>
        <w:t>is</w:t>
      </w:r>
      <w:r>
        <w:rPr>
          <w:spacing w:val="-7"/>
          <w:sz w:val="20"/>
        </w:rPr>
        <w:t> </w:t>
      </w:r>
      <w:r>
        <w:rPr>
          <w:sz w:val="20"/>
        </w:rPr>
        <w:t>site</w:t>
      </w:r>
      <w:r>
        <w:rPr>
          <w:spacing w:val="-5"/>
          <w:sz w:val="20"/>
        </w:rPr>
        <w:t> </w:t>
      </w:r>
      <w:r>
        <w:rPr>
          <w:sz w:val="20"/>
        </w:rPr>
        <w:t>selection</w:t>
      </w:r>
      <w:r>
        <w:rPr>
          <w:spacing w:val="-6"/>
          <w:sz w:val="20"/>
        </w:rPr>
        <w:t> </w:t>
      </w:r>
      <w:r>
        <w:rPr>
          <w:sz w:val="20"/>
        </w:rPr>
        <w:t>and</w:t>
      </w:r>
      <w:r>
        <w:rPr>
          <w:spacing w:val="-6"/>
          <w:sz w:val="20"/>
        </w:rPr>
        <w:t> </w:t>
      </w:r>
      <w:r>
        <w:rPr>
          <w:sz w:val="20"/>
        </w:rPr>
        <w:t>acquisition,</w:t>
      </w:r>
      <w:r>
        <w:rPr>
          <w:spacing w:val="-8"/>
          <w:sz w:val="20"/>
        </w:rPr>
        <w:t> </w:t>
      </w:r>
      <w:r>
        <w:rPr>
          <w:sz w:val="20"/>
        </w:rPr>
        <w:t>due to:</w:t>
      </w:r>
    </w:p>
    <w:p>
      <w:pPr>
        <w:pStyle w:val="BodyText"/>
        <w:spacing w:before="10"/>
      </w:pPr>
    </w:p>
    <w:p>
      <w:pPr>
        <w:pStyle w:val="ListParagraph"/>
        <w:numPr>
          <w:ilvl w:val="1"/>
          <w:numId w:val="1"/>
        </w:numPr>
        <w:tabs>
          <w:tab w:pos="1559" w:val="left" w:leader="none"/>
          <w:tab w:pos="1561" w:val="left" w:leader="none"/>
        </w:tabs>
        <w:spacing w:line="240" w:lineRule="auto" w:before="0" w:after="0"/>
        <w:ind w:left="1560" w:right="0" w:hanging="721"/>
        <w:jc w:val="left"/>
        <w:rPr>
          <w:rFonts w:ascii="Symbol" w:hAnsi="Symbol"/>
          <w:sz w:val="20"/>
        </w:rPr>
      </w:pPr>
      <w:r>
        <w:rPr>
          <w:sz w:val="20"/>
        </w:rPr>
        <w:t>Canada having comprehensive environmental laws, rules and</w:t>
      </w:r>
      <w:r>
        <w:rPr>
          <w:spacing w:val="-10"/>
          <w:sz w:val="20"/>
        </w:rPr>
        <w:t> </w:t>
      </w:r>
      <w:r>
        <w:rPr>
          <w:sz w:val="20"/>
        </w:rPr>
        <w:t>regulations;</w:t>
      </w:r>
    </w:p>
    <w:p>
      <w:pPr>
        <w:pStyle w:val="BodyText"/>
        <w:spacing w:before="9"/>
        <w:rPr>
          <w:sz w:val="30"/>
        </w:rPr>
      </w:pPr>
    </w:p>
    <w:p>
      <w:pPr>
        <w:pStyle w:val="ListParagraph"/>
        <w:numPr>
          <w:ilvl w:val="1"/>
          <w:numId w:val="1"/>
        </w:numPr>
        <w:tabs>
          <w:tab w:pos="1560" w:val="left" w:leader="none"/>
          <w:tab w:pos="1561" w:val="left" w:leader="none"/>
        </w:tabs>
        <w:spacing w:line="240" w:lineRule="auto" w:before="0" w:after="0"/>
        <w:ind w:left="1560" w:right="0" w:hanging="721"/>
        <w:jc w:val="left"/>
        <w:rPr>
          <w:rFonts w:ascii="Symbol" w:hAnsi="Symbol"/>
          <w:sz w:val="20"/>
        </w:rPr>
      </w:pPr>
      <w:r>
        <w:rPr>
          <w:sz w:val="20"/>
        </w:rPr>
        <w:t>in Canada, major capital projects requiring a series of environmental</w:t>
      </w:r>
      <w:r>
        <w:rPr>
          <w:spacing w:val="-12"/>
          <w:sz w:val="20"/>
        </w:rPr>
        <w:t> </w:t>
      </w:r>
      <w:r>
        <w:rPr>
          <w:sz w:val="20"/>
        </w:rPr>
        <w:t>approvals;</w:t>
      </w:r>
    </w:p>
    <w:p>
      <w:pPr>
        <w:pStyle w:val="BodyText"/>
        <w:spacing w:before="9"/>
        <w:rPr>
          <w:sz w:val="30"/>
        </w:rPr>
      </w:pPr>
    </w:p>
    <w:p>
      <w:pPr>
        <w:pStyle w:val="ListParagraph"/>
        <w:numPr>
          <w:ilvl w:val="1"/>
          <w:numId w:val="1"/>
        </w:numPr>
        <w:tabs>
          <w:tab w:pos="1559" w:val="left" w:leader="none"/>
          <w:tab w:pos="1561" w:val="left" w:leader="none"/>
        </w:tabs>
        <w:spacing w:line="355" w:lineRule="auto" w:before="0" w:after="0"/>
        <w:ind w:left="1560" w:right="1155" w:hanging="721"/>
        <w:jc w:val="both"/>
        <w:rPr>
          <w:rFonts w:ascii="Symbol" w:hAnsi="Symbol"/>
          <w:sz w:val="20"/>
        </w:rPr>
      </w:pPr>
      <w:r>
        <w:rPr>
          <w:sz w:val="20"/>
        </w:rPr>
        <w:t>in</w:t>
      </w:r>
      <w:r>
        <w:rPr>
          <w:spacing w:val="-15"/>
          <w:sz w:val="20"/>
        </w:rPr>
        <w:t> </w:t>
      </w:r>
      <w:r>
        <w:rPr>
          <w:sz w:val="20"/>
        </w:rPr>
        <w:t>Canada,</w:t>
      </w:r>
      <w:r>
        <w:rPr>
          <w:spacing w:val="-15"/>
          <w:sz w:val="20"/>
        </w:rPr>
        <w:t> </w:t>
      </w:r>
      <w:r>
        <w:rPr>
          <w:sz w:val="20"/>
        </w:rPr>
        <w:t>environmental</w:t>
      </w:r>
      <w:r>
        <w:rPr>
          <w:spacing w:val="-14"/>
          <w:sz w:val="20"/>
        </w:rPr>
        <w:t> </w:t>
      </w:r>
      <w:r>
        <w:rPr>
          <w:sz w:val="20"/>
        </w:rPr>
        <w:t>laws</w:t>
      </w:r>
      <w:r>
        <w:rPr>
          <w:spacing w:val="-14"/>
          <w:sz w:val="20"/>
        </w:rPr>
        <w:t> </w:t>
      </w:r>
      <w:r>
        <w:rPr>
          <w:sz w:val="20"/>
        </w:rPr>
        <w:t>generally</w:t>
      </w:r>
      <w:r>
        <w:rPr>
          <w:spacing w:val="-14"/>
          <w:sz w:val="20"/>
        </w:rPr>
        <w:t> </w:t>
      </w:r>
      <w:r>
        <w:rPr>
          <w:sz w:val="20"/>
        </w:rPr>
        <w:t>requiring</w:t>
      </w:r>
      <w:r>
        <w:rPr>
          <w:spacing w:val="-15"/>
          <w:sz w:val="20"/>
        </w:rPr>
        <w:t> </w:t>
      </w:r>
      <w:r>
        <w:rPr>
          <w:sz w:val="20"/>
        </w:rPr>
        <w:t>a</w:t>
      </w:r>
      <w:r>
        <w:rPr>
          <w:spacing w:val="-14"/>
          <w:sz w:val="20"/>
        </w:rPr>
        <w:t> </w:t>
      </w:r>
      <w:r>
        <w:rPr>
          <w:sz w:val="20"/>
        </w:rPr>
        <w:t>minimum</w:t>
      </w:r>
      <w:r>
        <w:rPr>
          <w:spacing w:val="-15"/>
          <w:sz w:val="20"/>
        </w:rPr>
        <w:t> </w:t>
      </w:r>
      <w:r>
        <w:rPr>
          <w:sz w:val="20"/>
        </w:rPr>
        <w:t>of</w:t>
      </w:r>
      <w:r>
        <w:rPr>
          <w:spacing w:val="-14"/>
          <w:sz w:val="20"/>
        </w:rPr>
        <w:t> </w:t>
      </w:r>
      <w:r>
        <w:rPr>
          <w:sz w:val="20"/>
        </w:rPr>
        <w:t>one</w:t>
      </w:r>
      <w:r>
        <w:rPr>
          <w:spacing w:val="-15"/>
          <w:sz w:val="20"/>
        </w:rPr>
        <w:t> </w:t>
      </w:r>
      <w:r>
        <w:rPr>
          <w:sz w:val="20"/>
        </w:rPr>
        <w:t>year</w:t>
      </w:r>
      <w:r>
        <w:rPr>
          <w:spacing w:val="-13"/>
          <w:sz w:val="20"/>
        </w:rPr>
        <w:t> </w:t>
      </w:r>
      <w:r>
        <w:rPr>
          <w:sz w:val="20"/>
        </w:rPr>
        <w:t>of</w:t>
      </w:r>
      <w:r>
        <w:rPr>
          <w:spacing w:val="-15"/>
          <w:sz w:val="20"/>
        </w:rPr>
        <w:t> </w:t>
      </w:r>
      <w:r>
        <w:rPr>
          <w:sz w:val="20"/>
        </w:rPr>
        <w:t>environmental baseline data to be collected on the actual project site, prior to preparation of an environmental impact assessment;</w:t>
      </w:r>
      <w:r>
        <w:rPr>
          <w:spacing w:val="-5"/>
          <w:sz w:val="20"/>
        </w:rPr>
        <w:t> </w:t>
      </w:r>
      <w:r>
        <w:rPr>
          <w:sz w:val="20"/>
        </w:rPr>
        <w:t>and</w:t>
      </w:r>
    </w:p>
    <w:p>
      <w:pPr>
        <w:pStyle w:val="BodyText"/>
        <w:spacing w:before="3"/>
        <w:rPr>
          <w:sz w:val="21"/>
        </w:rPr>
      </w:pPr>
    </w:p>
    <w:p>
      <w:pPr>
        <w:pStyle w:val="ListParagraph"/>
        <w:numPr>
          <w:ilvl w:val="1"/>
          <w:numId w:val="1"/>
        </w:numPr>
        <w:tabs>
          <w:tab w:pos="1559" w:val="left" w:leader="none"/>
          <w:tab w:pos="1561" w:val="left" w:leader="none"/>
        </w:tabs>
        <w:spacing w:line="355" w:lineRule="auto" w:before="0" w:after="0"/>
        <w:ind w:left="1560" w:right="1157" w:hanging="721"/>
        <w:jc w:val="both"/>
        <w:rPr>
          <w:rFonts w:ascii="Symbol" w:hAnsi="Symbol"/>
          <w:sz w:val="20"/>
        </w:rPr>
      </w:pPr>
      <w:r>
        <w:rPr>
          <w:sz w:val="20"/>
        </w:rPr>
        <w:t>the</w:t>
      </w:r>
      <w:r>
        <w:rPr>
          <w:spacing w:val="-7"/>
          <w:sz w:val="20"/>
        </w:rPr>
        <w:t> </w:t>
      </w:r>
      <w:r>
        <w:rPr>
          <w:sz w:val="20"/>
        </w:rPr>
        <w:t>requirement</w:t>
      </w:r>
      <w:r>
        <w:rPr>
          <w:spacing w:val="-8"/>
          <w:sz w:val="20"/>
        </w:rPr>
        <w:t> </w:t>
      </w:r>
      <w:r>
        <w:rPr>
          <w:sz w:val="20"/>
        </w:rPr>
        <w:t>that</w:t>
      </w:r>
      <w:r>
        <w:rPr>
          <w:spacing w:val="-7"/>
          <w:sz w:val="20"/>
        </w:rPr>
        <w:t> </w:t>
      </w:r>
      <w:r>
        <w:rPr>
          <w:sz w:val="20"/>
        </w:rPr>
        <w:t>an</w:t>
      </w:r>
      <w:r>
        <w:rPr>
          <w:spacing w:val="-7"/>
          <w:sz w:val="20"/>
        </w:rPr>
        <w:t> </w:t>
      </w:r>
      <w:r>
        <w:rPr>
          <w:sz w:val="20"/>
        </w:rPr>
        <w:t>independent</w:t>
      </w:r>
      <w:r>
        <w:rPr>
          <w:spacing w:val="-7"/>
          <w:sz w:val="20"/>
        </w:rPr>
        <w:t> </w:t>
      </w:r>
      <w:r>
        <w:rPr>
          <w:sz w:val="20"/>
        </w:rPr>
        <w:t>bankable</w:t>
      </w:r>
      <w:r>
        <w:rPr>
          <w:spacing w:val="-7"/>
          <w:sz w:val="20"/>
        </w:rPr>
        <w:t> </w:t>
      </w:r>
      <w:r>
        <w:rPr>
          <w:sz w:val="20"/>
        </w:rPr>
        <w:t>feasibility</w:t>
      </w:r>
      <w:r>
        <w:rPr>
          <w:spacing w:val="-6"/>
          <w:sz w:val="20"/>
        </w:rPr>
        <w:t> </w:t>
      </w:r>
      <w:r>
        <w:rPr>
          <w:sz w:val="20"/>
        </w:rPr>
        <w:t>study</w:t>
      </w:r>
      <w:r>
        <w:rPr>
          <w:spacing w:val="-7"/>
          <w:sz w:val="20"/>
        </w:rPr>
        <w:t> </w:t>
      </w:r>
      <w:r>
        <w:rPr>
          <w:sz w:val="20"/>
        </w:rPr>
        <w:t>be</w:t>
      </w:r>
      <w:r>
        <w:rPr>
          <w:spacing w:val="-6"/>
          <w:sz w:val="20"/>
        </w:rPr>
        <w:t> </w:t>
      </w:r>
      <w:r>
        <w:rPr>
          <w:sz w:val="20"/>
        </w:rPr>
        <w:t>prepared</w:t>
      </w:r>
      <w:r>
        <w:rPr>
          <w:spacing w:val="-7"/>
          <w:sz w:val="20"/>
        </w:rPr>
        <w:t> </w:t>
      </w:r>
      <w:r>
        <w:rPr>
          <w:sz w:val="20"/>
        </w:rPr>
        <w:t>with</w:t>
      </w:r>
      <w:r>
        <w:rPr>
          <w:spacing w:val="-7"/>
          <w:sz w:val="20"/>
        </w:rPr>
        <w:t> </w:t>
      </w:r>
      <w:r>
        <w:rPr>
          <w:sz w:val="20"/>
        </w:rPr>
        <w:t>estimates of capital and operating costs for the actual project site, rather than using standard costs and applying factors, in order to be acceptable to equity and debt</w:t>
      </w:r>
      <w:r>
        <w:rPr>
          <w:spacing w:val="-18"/>
          <w:sz w:val="20"/>
        </w:rPr>
        <w:t> </w:t>
      </w:r>
      <w:r>
        <w:rPr>
          <w:sz w:val="20"/>
        </w:rPr>
        <w:t>providers.</w:t>
      </w:r>
    </w:p>
    <w:p>
      <w:pPr>
        <w:pStyle w:val="BodyText"/>
        <w:spacing w:before="2"/>
        <w:rPr>
          <w:sz w:val="21"/>
        </w:rPr>
      </w:pPr>
    </w:p>
    <w:p>
      <w:pPr>
        <w:pStyle w:val="Heading1"/>
        <w:numPr>
          <w:ilvl w:val="0"/>
          <w:numId w:val="9"/>
        </w:numPr>
        <w:tabs>
          <w:tab w:pos="839" w:val="left" w:leader="none"/>
          <w:tab w:pos="841" w:val="left" w:leader="none"/>
        </w:tabs>
        <w:spacing w:line="240" w:lineRule="auto" w:before="0" w:after="0"/>
        <w:ind w:left="840" w:right="0" w:hanging="721"/>
        <w:jc w:val="left"/>
      </w:pPr>
      <w:r>
        <w:rPr>
          <w:u w:val="thick"/>
        </w:rPr>
        <w:t>Project Site for the Nitrogen</w:t>
      </w:r>
      <w:r>
        <w:rPr>
          <w:spacing w:val="-5"/>
          <w:u w:val="thick"/>
        </w:rPr>
        <w:t> </w:t>
      </w:r>
      <w:r>
        <w:rPr>
          <w:u w:val="thick"/>
        </w:rPr>
        <w:t>Project</w:t>
      </w:r>
    </w:p>
    <w:p>
      <w:pPr>
        <w:pStyle w:val="BodyText"/>
        <w:spacing w:before="8"/>
        <w:rPr>
          <w:b/>
          <w:sz w:val="22"/>
        </w:rPr>
      </w:pPr>
    </w:p>
    <w:p>
      <w:pPr>
        <w:pStyle w:val="ListParagraph"/>
        <w:numPr>
          <w:ilvl w:val="0"/>
          <w:numId w:val="1"/>
        </w:numPr>
        <w:tabs>
          <w:tab w:pos="841" w:val="left" w:leader="none"/>
        </w:tabs>
        <w:spacing w:line="360" w:lineRule="auto" w:before="94" w:after="0"/>
        <w:ind w:left="840" w:right="1158" w:hanging="721"/>
        <w:jc w:val="both"/>
        <w:rPr>
          <w:sz w:val="20"/>
        </w:rPr>
      </w:pPr>
      <w:r>
        <w:rPr>
          <w:sz w:val="20"/>
        </w:rPr>
        <w:t>During 2018 and 2019, I developed a comprehensive set of project site selection criteria for the Nitrogen Project, visited numerous potential sites, and discussed potential sites with the</w:t>
      </w:r>
      <w:r>
        <w:rPr>
          <w:spacing w:val="-32"/>
          <w:sz w:val="20"/>
        </w:rPr>
        <w:t> </w:t>
      </w:r>
      <w:r>
        <w:rPr>
          <w:sz w:val="20"/>
        </w:rPr>
        <w:t>AgCo.</w:t>
      </w:r>
    </w:p>
    <w:p>
      <w:pPr>
        <w:pStyle w:val="BodyText"/>
        <w:spacing w:before="10"/>
      </w:pPr>
    </w:p>
    <w:p>
      <w:pPr>
        <w:pStyle w:val="ListParagraph"/>
        <w:numPr>
          <w:ilvl w:val="0"/>
          <w:numId w:val="1"/>
        </w:numPr>
        <w:tabs>
          <w:tab w:pos="841" w:val="left" w:leader="none"/>
        </w:tabs>
        <w:spacing w:line="360" w:lineRule="auto" w:before="0" w:after="0"/>
        <w:ind w:left="840" w:right="1156" w:hanging="721"/>
        <w:jc w:val="both"/>
        <w:rPr>
          <w:sz w:val="20"/>
        </w:rPr>
      </w:pPr>
      <w:r>
        <w:rPr>
          <w:sz w:val="20"/>
        </w:rPr>
        <w:t>I</w:t>
      </w:r>
      <w:r>
        <w:rPr>
          <w:spacing w:val="-7"/>
          <w:sz w:val="20"/>
        </w:rPr>
        <w:t> </w:t>
      </w:r>
      <w:r>
        <w:rPr>
          <w:sz w:val="20"/>
        </w:rPr>
        <w:t>had</w:t>
      </w:r>
      <w:r>
        <w:rPr>
          <w:spacing w:val="-5"/>
          <w:sz w:val="20"/>
        </w:rPr>
        <w:t> </w:t>
      </w:r>
      <w:r>
        <w:rPr>
          <w:sz w:val="20"/>
        </w:rPr>
        <w:t>daily</w:t>
      </w:r>
      <w:r>
        <w:rPr>
          <w:spacing w:val="-7"/>
          <w:sz w:val="20"/>
        </w:rPr>
        <w:t> </w:t>
      </w:r>
      <w:r>
        <w:rPr>
          <w:sz w:val="20"/>
        </w:rPr>
        <w:t>discussions</w:t>
      </w:r>
      <w:r>
        <w:rPr>
          <w:spacing w:val="-5"/>
          <w:sz w:val="20"/>
        </w:rPr>
        <w:t> </w:t>
      </w:r>
      <w:r>
        <w:rPr>
          <w:sz w:val="20"/>
        </w:rPr>
        <w:t>with</w:t>
      </w:r>
      <w:r>
        <w:rPr>
          <w:spacing w:val="-6"/>
          <w:sz w:val="20"/>
        </w:rPr>
        <w:t> </w:t>
      </w:r>
      <w:r>
        <w:rPr>
          <w:sz w:val="20"/>
        </w:rPr>
        <w:t>Rowan</w:t>
      </w:r>
      <w:r>
        <w:rPr>
          <w:spacing w:val="-7"/>
          <w:sz w:val="20"/>
        </w:rPr>
        <w:t> </w:t>
      </w:r>
      <w:r>
        <w:rPr>
          <w:sz w:val="20"/>
        </w:rPr>
        <w:t>regarding</w:t>
      </w:r>
      <w:r>
        <w:rPr>
          <w:spacing w:val="-5"/>
          <w:sz w:val="20"/>
        </w:rPr>
        <w:t> </w:t>
      </w:r>
      <w:r>
        <w:rPr>
          <w:sz w:val="20"/>
        </w:rPr>
        <w:t>project</w:t>
      </w:r>
      <w:r>
        <w:rPr>
          <w:spacing w:val="-7"/>
          <w:sz w:val="20"/>
        </w:rPr>
        <w:t> </w:t>
      </w:r>
      <w:r>
        <w:rPr>
          <w:sz w:val="20"/>
        </w:rPr>
        <w:t>site</w:t>
      </w:r>
      <w:r>
        <w:rPr>
          <w:spacing w:val="-6"/>
          <w:sz w:val="20"/>
        </w:rPr>
        <w:t> </w:t>
      </w:r>
      <w:r>
        <w:rPr>
          <w:sz w:val="20"/>
        </w:rPr>
        <w:t>selection</w:t>
      </w:r>
      <w:r>
        <w:rPr>
          <w:spacing w:val="-6"/>
          <w:sz w:val="20"/>
        </w:rPr>
        <w:t> </w:t>
      </w:r>
      <w:r>
        <w:rPr>
          <w:sz w:val="20"/>
        </w:rPr>
        <w:t>criteria</w:t>
      </w:r>
      <w:r>
        <w:rPr>
          <w:spacing w:val="-6"/>
          <w:sz w:val="20"/>
        </w:rPr>
        <w:t> </w:t>
      </w:r>
      <w:r>
        <w:rPr>
          <w:sz w:val="20"/>
        </w:rPr>
        <w:t>for</w:t>
      </w:r>
      <w:r>
        <w:rPr>
          <w:spacing w:val="-6"/>
          <w:sz w:val="20"/>
        </w:rPr>
        <w:t> </w:t>
      </w:r>
      <w:r>
        <w:rPr>
          <w:sz w:val="20"/>
        </w:rPr>
        <w:t>the</w:t>
      </w:r>
      <w:r>
        <w:rPr>
          <w:spacing w:val="-6"/>
          <w:sz w:val="20"/>
        </w:rPr>
        <w:t> </w:t>
      </w:r>
      <w:r>
        <w:rPr>
          <w:sz w:val="20"/>
        </w:rPr>
        <w:t>Nitrogen</w:t>
      </w:r>
      <w:r>
        <w:rPr>
          <w:spacing w:val="-6"/>
          <w:sz w:val="20"/>
        </w:rPr>
        <w:t> </w:t>
      </w:r>
      <w:r>
        <w:rPr>
          <w:sz w:val="20"/>
        </w:rPr>
        <w:t>Project, visited numerous potential sites, and discussed potential sites with the AgCo, and the AgCo’s landman.</w:t>
      </w:r>
    </w:p>
    <w:p>
      <w:pPr>
        <w:spacing w:after="0" w:line="360" w:lineRule="auto"/>
        <w:jc w:val="both"/>
        <w:rPr>
          <w:sz w:val="20"/>
        </w:rPr>
        <w:sectPr>
          <w:footerReference w:type="default" r:id="rId16"/>
          <w:pgSz w:w="12240" w:h="15840"/>
          <w:pgMar w:footer="1259" w:header="0" w:top="1220" w:bottom="1440" w:left="1320" w:right="280"/>
          <w:pgNumType w:start="22"/>
        </w:sectPr>
      </w:pPr>
    </w:p>
    <w:p>
      <w:pPr>
        <w:pStyle w:val="ListParagraph"/>
        <w:numPr>
          <w:ilvl w:val="0"/>
          <w:numId w:val="1"/>
        </w:numPr>
        <w:tabs>
          <w:tab w:pos="841" w:val="left" w:leader="none"/>
        </w:tabs>
        <w:spacing w:line="360" w:lineRule="auto" w:before="75" w:after="0"/>
        <w:ind w:left="839" w:right="1156" w:hanging="720"/>
        <w:jc w:val="both"/>
        <w:rPr>
          <w:sz w:val="20"/>
        </w:rPr>
      </w:pPr>
      <w:r>
        <w:rPr>
          <w:sz w:val="20"/>
        </w:rPr>
        <w:t>In early 2019, I had identified a suitable site and proposed its acquisition to the KRN Board. The KRN Board, lead by Varma, refused to allow the acquisition to proceed. This refusal came after GSFC had obtained control of the KRN Board in January</w:t>
      </w:r>
      <w:r>
        <w:rPr>
          <w:spacing w:val="-11"/>
          <w:sz w:val="20"/>
        </w:rPr>
        <w:t> </w:t>
      </w:r>
      <w:r>
        <w:rPr>
          <w:sz w:val="20"/>
        </w:rPr>
        <w:t>2019.</w:t>
      </w:r>
    </w:p>
    <w:p>
      <w:pPr>
        <w:pStyle w:val="BodyText"/>
        <w:spacing w:before="10"/>
      </w:pPr>
    </w:p>
    <w:p>
      <w:pPr>
        <w:pStyle w:val="ListParagraph"/>
        <w:numPr>
          <w:ilvl w:val="0"/>
          <w:numId w:val="1"/>
        </w:numPr>
        <w:tabs>
          <w:tab w:pos="841" w:val="left" w:leader="none"/>
        </w:tabs>
        <w:spacing w:line="360" w:lineRule="auto" w:before="0" w:after="0"/>
        <w:ind w:left="839" w:right="1156" w:hanging="720"/>
        <w:jc w:val="both"/>
        <w:rPr>
          <w:sz w:val="20"/>
        </w:rPr>
      </w:pPr>
      <w:r>
        <w:rPr>
          <w:sz w:val="20"/>
        </w:rPr>
        <w:t>By September 2019, with the help of the landman from the AgCo, I had identified and negotiated an agreement to acquire a preferred project site (the “</w:t>
      </w:r>
      <w:r>
        <w:rPr>
          <w:b/>
          <w:sz w:val="20"/>
        </w:rPr>
        <w:t>Nitrogen Site</w:t>
      </w:r>
      <w:r>
        <w:rPr>
          <w:sz w:val="20"/>
        </w:rPr>
        <w:t>”), located near Saskatoon, which the AgCo fully</w:t>
      </w:r>
      <w:r>
        <w:rPr>
          <w:spacing w:val="-5"/>
          <w:sz w:val="20"/>
        </w:rPr>
        <w:t> </w:t>
      </w:r>
      <w:r>
        <w:rPr>
          <w:sz w:val="20"/>
        </w:rPr>
        <w:t>supported.</w:t>
      </w:r>
    </w:p>
    <w:p>
      <w:pPr>
        <w:pStyle w:val="BodyText"/>
        <w:spacing w:before="11"/>
      </w:pPr>
    </w:p>
    <w:p>
      <w:pPr>
        <w:pStyle w:val="ListParagraph"/>
        <w:numPr>
          <w:ilvl w:val="0"/>
          <w:numId w:val="1"/>
        </w:numPr>
        <w:tabs>
          <w:tab w:pos="840" w:val="left" w:leader="none"/>
        </w:tabs>
        <w:spacing w:line="360" w:lineRule="auto" w:before="0" w:after="0"/>
        <w:ind w:left="839" w:right="1156" w:hanging="720"/>
        <w:jc w:val="both"/>
        <w:rPr>
          <w:sz w:val="20"/>
        </w:rPr>
      </w:pPr>
      <w:r>
        <w:rPr>
          <w:sz w:val="20"/>
        </w:rPr>
        <w:t>I presented the proposed agreement to acquire the Nitrogen Site to the KRN Board, and Varma refused to consider the</w:t>
      </w:r>
      <w:r>
        <w:rPr>
          <w:spacing w:val="-4"/>
          <w:sz w:val="20"/>
        </w:rPr>
        <w:t> </w:t>
      </w:r>
      <w:r>
        <w:rPr>
          <w:sz w:val="20"/>
        </w:rPr>
        <w:t>matter.</w:t>
      </w:r>
    </w:p>
    <w:p>
      <w:pPr>
        <w:pStyle w:val="BodyText"/>
        <w:spacing w:before="10"/>
      </w:pPr>
    </w:p>
    <w:p>
      <w:pPr>
        <w:pStyle w:val="ListParagraph"/>
        <w:numPr>
          <w:ilvl w:val="0"/>
          <w:numId w:val="1"/>
        </w:numPr>
        <w:tabs>
          <w:tab w:pos="840" w:val="left" w:leader="none"/>
        </w:tabs>
        <w:spacing w:line="360" w:lineRule="auto" w:before="0" w:after="0"/>
        <w:ind w:left="839" w:right="1157" w:hanging="721"/>
        <w:jc w:val="both"/>
        <w:rPr>
          <w:sz w:val="20"/>
        </w:rPr>
      </w:pPr>
      <w:r>
        <w:rPr>
          <w:sz w:val="20"/>
        </w:rPr>
        <w:t>I</w:t>
      </w:r>
      <w:r>
        <w:rPr>
          <w:spacing w:val="-7"/>
          <w:sz w:val="20"/>
        </w:rPr>
        <w:t> </w:t>
      </w:r>
      <w:r>
        <w:rPr>
          <w:sz w:val="20"/>
        </w:rPr>
        <w:t>verily</w:t>
      </w:r>
      <w:r>
        <w:rPr>
          <w:spacing w:val="-6"/>
          <w:sz w:val="20"/>
        </w:rPr>
        <w:t> </w:t>
      </w:r>
      <w:r>
        <w:rPr>
          <w:sz w:val="20"/>
        </w:rPr>
        <w:t>believe</w:t>
      </w:r>
      <w:r>
        <w:rPr>
          <w:spacing w:val="-6"/>
          <w:sz w:val="20"/>
        </w:rPr>
        <w:t> </w:t>
      </w:r>
      <w:r>
        <w:rPr>
          <w:sz w:val="20"/>
        </w:rPr>
        <w:t>that</w:t>
      </w:r>
      <w:r>
        <w:rPr>
          <w:spacing w:val="-7"/>
          <w:sz w:val="20"/>
        </w:rPr>
        <w:t> </w:t>
      </w:r>
      <w:r>
        <w:rPr>
          <w:sz w:val="20"/>
        </w:rPr>
        <w:t>from</w:t>
      </w:r>
      <w:r>
        <w:rPr>
          <w:spacing w:val="-6"/>
          <w:sz w:val="20"/>
        </w:rPr>
        <w:t> </w:t>
      </w:r>
      <w:r>
        <w:rPr>
          <w:sz w:val="20"/>
        </w:rPr>
        <w:t>my</w:t>
      </w:r>
      <w:r>
        <w:rPr>
          <w:spacing w:val="-6"/>
          <w:sz w:val="20"/>
        </w:rPr>
        <w:t> </w:t>
      </w:r>
      <w:r>
        <w:rPr>
          <w:sz w:val="20"/>
        </w:rPr>
        <w:t>own</w:t>
      </w:r>
      <w:r>
        <w:rPr>
          <w:spacing w:val="-7"/>
          <w:sz w:val="20"/>
        </w:rPr>
        <w:t> </w:t>
      </w:r>
      <w:r>
        <w:rPr>
          <w:sz w:val="20"/>
        </w:rPr>
        <w:t>experience,</w:t>
      </w:r>
      <w:r>
        <w:rPr>
          <w:spacing w:val="-7"/>
          <w:sz w:val="20"/>
        </w:rPr>
        <w:t> </w:t>
      </w:r>
      <w:r>
        <w:rPr>
          <w:sz w:val="20"/>
        </w:rPr>
        <w:t>as</w:t>
      </w:r>
      <w:r>
        <w:rPr>
          <w:spacing w:val="-5"/>
          <w:sz w:val="20"/>
        </w:rPr>
        <w:t> </w:t>
      </w:r>
      <w:r>
        <w:rPr>
          <w:sz w:val="20"/>
        </w:rPr>
        <w:t>well</w:t>
      </w:r>
      <w:r>
        <w:rPr>
          <w:spacing w:val="-7"/>
          <w:sz w:val="20"/>
        </w:rPr>
        <w:t> </w:t>
      </w:r>
      <w:r>
        <w:rPr>
          <w:sz w:val="20"/>
        </w:rPr>
        <w:t>as</w:t>
      </w:r>
      <w:r>
        <w:rPr>
          <w:spacing w:val="-6"/>
          <w:sz w:val="20"/>
        </w:rPr>
        <w:t> </w:t>
      </w:r>
      <w:r>
        <w:rPr>
          <w:sz w:val="20"/>
        </w:rPr>
        <w:t>my</w:t>
      </w:r>
      <w:r>
        <w:rPr>
          <w:spacing w:val="-6"/>
          <w:sz w:val="20"/>
        </w:rPr>
        <w:t> </w:t>
      </w:r>
      <w:r>
        <w:rPr>
          <w:sz w:val="20"/>
        </w:rPr>
        <w:t>discussions</w:t>
      </w:r>
      <w:r>
        <w:rPr>
          <w:spacing w:val="-6"/>
          <w:sz w:val="20"/>
        </w:rPr>
        <w:t> </w:t>
      </w:r>
      <w:r>
        <w:rPr>
          <w:sz w:val="20"/>
        </w:rPr>
        <w:t>with</w:t>
      </w:r>
      <w:r>
        <w:rPr>
          <w:spacing w:val="-5"/>
          <w:sz w:val="20"/>
        </w:rPr>
        <w:t> </w:t>
      </w:r>
      <w:r>
        <w:rPr>
          <w:sz w:val="20"/>
        </w:rPr>
        <w:t>Rowan,</w:t>
      </w:r>
      <w:r>
        <w:rPr>
          <w:spacing w:val="-7"/>
          <w:sz w:val="20"/>
        </w:rPr>
        <w:t> </w:t>
      </w:r>
      <w:r>
        <w:rPr>
          <w:sz w:val="20"/>
        </w:rPr>
        <w:t>the</w:t>
      </w:r>
      <w:r>
        <w:rPr>
          <w:spacing w:val="-6"/>
          <w:sz w:val="20"/>
        </w:rPr>
        <w:t> </w:t>
      </w:r>
      <w:r>
        <w:rPr>
          <w:sz w:val="20"/>
        </w:rPr>
        <w:t>AgCo</w:t>
      </w:r>
      <w:r>
        <w:rPr>
          <w:spacing w:val="-6"/>
          <w:sz w:val="20"/>
        </w:rPr>
        <w:t> </w:t>
      </w:r>
      <w:r>
        <w:rPr>
          <w:sz w:val="20"/>
        </w:rPr>
        <w:t>and the AgCo’s landman, Saskatoon was the ideal location for the Nitrogen Project, and the Wynyard was not even on the list of potential</w:t>
      </w:r>
      <w:r>
        <w:rPr>
          <w:spacing w:val="-9"/>
          <w:sz w:val="20"/>
        </w:rPr>
        <w:t> </w:t>
      </w:r>
      <w:r>
        <w:rPr>
          <w:sz w:val="20"/>
        </w:rPr>
        <w:t>sites.</w:t>
      </w:r>
    </w:p>
    <w:p>
      <w:pPr>
        <w:pStyle w:val="BodyText"/>
        <w:spacing w:before="9"/>
      </w:pPr>
    </w:p>
    <w:p>
      <w:pPr>
        <w:pStyle w:val="Heading1"/>
        <w:numPr>
          <w:ilvl w:val="0"/>
          <w:numId w:val="9"/>
        </w:numPr>
        <w:tabs>
          <w:tab w:pos="839" w:val="left" w:leader="none"/>
          <w:tab w:pos="841" w:val="left" w:leader="none"/>
        </w:tabs>
        <w:spacing w:line="240" w:lineRule="auto" w:before="0" w:after="0"/>
        <w:ind w:left="840" w:right="0" w:hanging="721"/>
        <w:jc w:val="left"/>
      </w:pPr>
      <w:r>
        <w:rPr>
          <w:u w:val="thick"/>
        </w:rPr>
        <w:t>GSFC’s Bias on Nitrogen Project</w:t>
      </w:r>
      <w:r>
        <w:rPr>
          <w:spacing w:val="-7"/>
          <w:u w:val="thick"/>
        </w:rPr>
        <w:t> </w:t>
      </w:r>
      <w:r>
        <w:rPr>
          <w:u w:val="thick"/>
        </w:rPr>
        <w:t>Site</w:t>
      </w:r>
    </w:p>
    <w:p>
      <w:pPr>
        <w:pStyle w:val="BodyText"/>
        <w:spacing w:before="9"/>
        <w:rPr>
          <w:b/>
          <w:sz w:val="22"/>
        </w:rPr>
      </w:pPr>
    </w:p>
    <w:p>
      <w:pPr>
        <w:pStyle w:val="ListParagraph"/>
        <w:numPr>
          <w:ilvl w:val="0"/>
          <w:numId w:val="1"/>
        </w:numPr>
        <w:tabs>
          <w:tab w:pos="839" w:val="left" w:leader="none"/>
          <w:tab w:pos="841" w:val="left" w:leader="none"/>
        </w:tabs>
        <w:spacing w:line="240" w:lineRule="auto" w:before="94" w:after="0"/>
        <w:ind w:left="840" w:right="0" w:hanging="721"/>
        <w:jc w:val="left"/>
        <w:rPr>
          <w:sz w:val="20"/>
        </w:rPr>
      </w:pPr>
      <w:r>
        <w:rPr>
          <w:sz w:val="20"/>
        </w:rPr>
        <w:t>In January 2019, GSFC obtained control of the KRN</w:t>
      </w:r>
      <w:r>
        <w:rPr>
          <w:spacing w:val="-8"/>
          <w:sz w:val="20"/>
        </w:rPr>
        <w:t> </w:t>
      </w:r>
      <w:r>
        <w:rPr>
          <w:sz w:val="20"/>
        </w:rPr>
        <w:t>Board.</w:t>
      </w:r>
    </w:p>
    <w:p>
      <w:pPr>
        <w:pStyle w:val="BodyText"/>
        <w:spacing w:before="9"/>
        <w:rPr>
          <w:sz w:val="30"/>
        </w:rPr>
      </w:pPr>
    </w:p>
    <w:p>
      <w:pPr>
        <w:pStyle w:val="ListParagraph"/>
        <w:numPr>
          <w:ilvl w:val="0"/>
          <w:numId w:val="1"/>
        </w:numPr>
        <w:tabs>
          <w:tab w:pos="841" w:val="left" w:leader="none"/>
        </w:tabs>
        <w:spacing w:line="360" w:lineRule="auto" w:before="0" w:after="0"/>
        <w:ind w:left="840" w:right="1156" w:hanging="721"/>
        <w:jc w:val="both"/>
        <w:rPr>
          <w:sz w:val="20"/>
        </w:rPr>
      </w:pPr>
      <w:r>
        <w:rPr>
          <w:sz w:val="20"/>
        </w:rPr>
        <w:t>In</w:t>
      </w:r>
      <w:r>
        <w:rPr>
          <w:spacing w:val="-10"/>
          <w:sz w:val="20"/>
        </w:rPr>
        <w:t> </w:t>
      </w:r>
      <w:r>
        <w:rPr>
          <w:sz w:val="20"/>
        </w:rPr>
        <w:t>February</w:t>
      </w:r>
      <w:r>
        <w:rPr>
          <w:spacing w:val="-10"/>
          <w:sz w:val="20"/>
        </w:rPr>
        <w:t> </w:t>
      </w:r>
      <w:r>
        <w:rPr>
          <w:sz w:val="20"/>
        </w:rPr>
        <w:t>2019,</w:t>
      </w:r>
      <w:r>
        <w:rPr>
          <w:spacing w:val="-10"/>
          <w:sz w:val="20"/>
        </w:rPr>
        <w:t> </w:t>
      </w:r>
      <w:r>
        <w:rPr>
          <w:sz w:val="20"/>
        </w:rPr>
        <w:t>Varma</w:t>
      </w:r>
      <w:r>
        <w:rPr>
          <w:spacing w:val="-10"/>
          <w:sz w:val="20"/>
        </w:rPr>
        <w:t> </w:t>
      </w:r>
      <w:r>
        <w:rPr>
          <w:sz w:val="20"/>
        </w:rPr>
        <w:t>told</w:t>
      </w:r>
      <w:r>
        <w:rPr>
          <w:spacing w:val="-9"/>
          <w:sz w:val="20"/>
        </w:rPr>
        <w:t> </w:t>
      </w:r>
      <w:r>
        <w:rPr>
          <w:sz w:val="20"/>
        </w:rPr>
        <w:t>me,</w:t>
      </w:r>
      <w:r>
        <w:rPr>
          <w:spacing w:val="-10"/>
          <w:sz w:val="20"/>
        </w:rPr>
        <w:t> </w:t>
      </w:r>
      <w:r>
        <w:rPr>
          <w:sz w:val="20"/>
        </w:rPr>
        <w:t>in</w:t>
      </w:r>
      <w:r>
        <w:rPr>
          <w:spacing w:val="-10"/>
          <w:sz w:val="20"/>
        </w:rPr>
        <w:t> </w:t>
      </w:r>
      <w:r>
        <w:rPr>
          <w:sz w:val="20"/>
        </w:rPr>
        <w:t>the</w:t>
      </w:r>
      <w:r>
        <w:rPr>
          <w:spacing w:val="-11"/>
          <w:sz w:val="20"/>
        </w:rPr>
        <w:t> </w:t>
      </w:r>
      <w:r>
        <w:rPr>
          <w:sz w:val="20"/>
        </w:rPr>
        <w:t>presence</w:t>
      </w:r>
      <w:r>
        <w:rPr>
          <w:spacing w:val="-10"/>
          <w:sz w:val="20"/>
        </w:rPr>
        <w:t> </w:t>
      </w:r>
      <w:r>
        <w:rPr>
          <w:sz w:val="20"/>
        </w:rPr>
        <w:t>of</w:t>
      </w:r>
      <w:r>
        <w:rPr>
          <w:spacing w:val="-11"/>
          <w:sz w:val="20"/>
        </w:rPr>
        <w:t> </w:t>
      </w:r>
      <w:r>
        <w:rPr>
          <w:sz w:val="20"/>
        </w:rPr>
        <w:t>Rowan</w:t>
      </w:r>
      <w:r>
        <w:rPr>
          <w:spacing w:val="-10"/>
          <w:sz w:val="20"/>
        </w:rPr>
        <w:t> </w:t>
      </w:r>
      <w:r>
        <w:rPr>
          <w:sz w:val="20"/>
        </w:rPr>
        <w:t>and</w:t>
      </w:r>
      <w:r>
        <w:rPr>
          <w:spacing w:val="-10"/>
          <w:sz w:val="20"/>
        </w:rPr>
        <w:t> </w:t>
      </w:r>
      <w:r>
        <w:rPr>
          <w:sz w:val="20"/>
        </w:rPr>
        <w:t>Favreau,</w:t>
      </w:r>
      <w:r>
        <w:rPr>
          <w:spacing w:val="-11"/>
          <w:sz w:val="20"/>
        </w:rPr>
        <w:t> </w:t>
      </w:r>
      <w:r>
        <w:rPr>
          <w:sz w:val="20"/>
        </w:rPr>
        <w:t>that</w:t>
      </w:r>
      <w:r>
        <w:rPr>
          <w:spacing w:val="-9"/>
          <w:sz w:val="20"/>
        </w:rPr>
        <w:t> </w:t>
      </w:r>
      <w:r>
        <w:rPr>
          <w:sz w:val="20"/>
        </w:rPr>
        <w:t>in</w:t>
      </w:r>
      <w:r>
        <w:rPr>
          <w:spacing w:val="-9"/>
          <w:sz w:val="20"/>
        </w:rPr>
        <w:t> </w:t>
      </w:r>
      <w:r>
        <w:rPr>
          <w:sz w:val="20"/>
        </w:rPr>
        <w:t>India</w:t>
      </w:r>
      <w:r>
        <w:rPr>
          <w:spacing w:val="-10"/>
          <w:sz w:val="20"/>
        </w:rPr>
        <w:t> </w:t>
      </w:r>
      <w:r>
        <w:rPr>
          <w:sz w:val="20"/>
        </w:rPr>
        <w:t>they</w:t>
      </w:r>
      <w:r>
        <w:rPr>
          <w:spacing w:val="-10"/>
          <w:sz w:val="20"/>
        </w:rPr>
        <w:t> </w:t>
      </w:r>
      <w:r>
        <w:rPr>
          <w:sz w:val="20"/>
        </w:rPr>
        <w:t>choose their project sites differently, so all of the potential sites identified by me and the AgCo near Saskatoon,</w:t>
      </w:r>
      <w:r>
        <w:rPr>
          <w:spacing w:val="-5"/>
          <w:sz w:val="20"/>
        </w:rPr>
        <w:t> </w:t>
      </w:r>
      <w:r>
        <w:rPr>
          <w:sz w:val="20"/>
        </w:rPr>
        <w:t>were</w:t>
      </w:r>
      <w:r>
        <w:rPr>
          <w:spacing w:val="-3"/>
          <w:sz w:val="20"/>
        </w:rPr>
        <w:t> </w:t>
      </w:r>
      <w:r>
        <w:rPr>
          <w:sz w:val="20"/>
        </w:rPr>
        <w:t>not</w:t>
      </w:r>
      <w:r>
        <w:rPr>
          <w:spacing w:val="-3"/>
          <w:sz w:val="20"/>
        </w:rPr>
        <w:t> </w:t>
      </w:r>
      <w:r>
        <w:rPr>
          <w:sz w:val="20"/>
        </w:rPr>
        <w:t>appropriate</w:t>
      </w:r>
      <w:r>
        <w:rPr>
          <w:spacing w:val="-2"/>
          <w:sz w:val="20"/>
        </w:rPr>
        <w:t> </w:t>
      </w:r>
      <w:r>
        <w:rPr>
          <w:sz w:val="20"/>
        </w:rPr>
        <w:t>for</w:t>
      </w:r>
      <w:r>
        <w:rPr>
          <w:spacing w:val="-2"/>
          <w:sz w:val="20"/>
        </w:rPr>
        <w:t> </w:t>
      </w:r>
      <w:r>
        <w:rPr>
          <w:sz w:val="20"/>
        </w:rPr>
        <w:t>the</w:t>
      </w:r>
      <w:r>
        <w:rPr>
          <w:spacing w:val="-4"/>
          <w:sz w:val="20"/>
        </w:rPr>
        <w:t> </w:t>
      </w:r>
      <w:r>
        <w:rPr>
          <w:sz w:val="20"/>
        </w:rPr>
        <w:t>Nitrogen</w:t>
      </w:r>
      <w:r>
        <w:rPr>
          <w:spacing w:val="-3"/>
          <w:sz w:val="20"/>
        </w:rPr>
        <w:t> </w:t>
      </w:r>
      <w:r>
        <w:rPr>
          <w:sz w:val="20"/>
        </w:rPr>
        <w:t>Project</w:t>
      </w:r>
      <w:r>
        <w:rPr>
          <w:spacing w:val="-2"/>
          <w:sz w:val="20"/>
        </w:rPr>
        <w:t> </w:t>
      </w:r>
      <w:r>
        <w:rPr>
          <w:sz w:val="20"/>
        </w:rPr>
        <w:t>in</w:t>
      </w:r>
      <w:r>
        <w:rPr>
          <w:spacing w:val="-3"/>
          <w:sz w:val="20"/>
        </w:rPr>
        <w:t> </w:t>
      </w:r>
      <w:r>
        <w:rPr>
          <w:sz w:val="20"/>
        </w:rPr>
        <w:t>Varma’s</w:t>
      </w:r>
      <w:r>
        <w:rPr>
          <w:spacing w:val="-3"/>
          <w:sz w:val="20"/>
        </w:rPr>
        <w:t> </w:t>
      </w:r>
      <w:r>
        <w:rPr>
          <w:sz w:val="20"/>
        </w:rPr>
        <w:t>view,</w:t>
      </w:r>
      <w:r>
        <w:rPr>
          <w:spacing w:val="-4"/>
          <w:sz w:val="20"/>
        </w:rPr>
        <w:t> </w:t>
      </w:r>
      <w:r>
        <w:rPr>
          <w:sz w:val="20"/>
        </w:rPr>
        <w:t>because</w:t>
      </w:r>
      <w:r>
        <w:rPr>
          <w:spacing w:val="-2"/>
          <w:sz w:val="20"/>
        </w:rPr>
        <w:t> </w:t>
      </w:r>
      <w:r>
        <w:rPr>
          <w:sz w:val="20"/>
        </w:rPr>
        <w:t>it</w:t>
      </w:r>
      <w:r>
        <w:rPr>
          <w:spacing w:val="-5"/>
          <w:sz w:val="20"/>
        </w:rPr>
        <w:t> </w:t>
      </w:r>
      <w:r>
        <w:rPr>
          <w:sz w:val="20"/>
        </w:rPr>
        <w:t>was</w:t>
      </w:r>
      <w:r>
        <w:rPr>
          <w:spacing w:val="-1"/>
          <w:sz w:val="20"/>
        </w:rPr>
        <w:t> </w:t>
      </w:r>
      <w:r>
        <w:rPr>
          <w:sz w:val="20"/>
        </w:rPr>
        <w:t>not</w:t>
      </w:r>
      <w:r>
        <w:rPr>
          <w:spacing w:val="-5"/>
          <w:sz w:val="20"/>
        </w:rPr>
        <w:t> </w:t>
      </w:r>
      <w:r>
        <w:rPr>
          <w:sz w:val="20"/>
        </w:rPr>
        <w:t>how he would select a project site in</w:t>
      </w:r>
      <w:r>
        <w:rPr>
          <w:spacing w:val="-8"/>
          <w:sz w:val="20"/>
        </w:rPr>
        <w:t> </w:t>
      </w:r>
      <w:r>
        <w:rPr>
          <w:sz w:val="20"/>
        </w:rPr>
        <w:t>India.</w:t>
      </w:r>
    </w:p>
    <w:p>
      <w:pPr>
        <w:pStyle w:val="BodyText"/>
        <w:spacing w:before="10"/>
      </w:pPr>
    </w:p>
    <w:p>
      <w:pPr>
        <w:pStyle w:val="ListParagraph"/>
        <w:numPr>
          <w:ilvl w:val="0"/>
          <w:numId w:val="1"/>
        </w:numPr>
        <w:tabs>
          <w:tab w:pos="841" w:val="left" w:leader="none"/>
        </w:tabs>
        <w:spacing w:line="360" w:lineRule="auto" w:before="1" w:after="0"/>
        <w:ind w:left="840" w:right="1155" w:hanging="721"/>
        <w:jc w:val="both"/>
        <w:rPr>
          <w:sz w:val="20"/>
        </w:rPr>
      </w:pPr>
      <w:r>
        <w:rPr>
          <w:sz w:val="20"/>
        </w:rPr>
        <w:t>In</w:t>
      </w:r>
      <w:r>
        <w:rPr>
          <w:spacing w:val="-12"/>
          <w:sz w:val="20"/>
        </w:rPr>
        <w:t> </w:t>
      </w:r>
      <w:r>
        <w:rPr>
          <w:sz w:val="20"/>
        </w:rPr>
        <w:t>February</w:t>
      </w:r>
      <w:r>
        <w:rPr>
          <w:spacing w:val="-12"/>
          <w:sz w:val="20"/>
        </w:rPr>
        <w:t> </w:t>
      </w:r>
      <w:r>
        <w:rPr>
          <w:sz w:val="20"/>
        </w:rPr>
        <w:t>2019,</w:t>
      </w:r>
      <w:r>
        <w:rPr>
          <w:spacing w:val="-12"/>
          <w:sz w:val="20"/>
        </w:rPr>
        <w:t> </w:t>
      </w:r>
      <w:r>
        <w:rPr>
          <w:sz w:val="20"/>
        </w:rPr>
        <w:t>prior</w:t>
      </w:r>
      <w:r>
        <w:rPr>
          <w:spacing w:val="-12"/>
          <w:sz w:val="20"/>
        </w:rPr>
        <w:t> </w:t>
      </w:r>
      <w:r>
        <w:rPr>
          <w:sz w:val="20"/>
        </w:rPr>
        <w:t>to</w:t>
      </w:r>
      <w:r>
        <w:rPr>
          <w:spacing w:val="-12"/>
          <w:sz w:val="20"/>
        </w:rPr>
        <w:t> </w:t>
      </w:r>
      <w:r>
        <w:rPr>
          <w:sz w:val="20"/>
        </w:rPr>
        <w:t>a</w:t>
      </w:r>
      <w:r>
        <w:rPr>
          <w:spacing w:val="-11"/>
          <w:sz w:val="20"/>
        </w:rPr>
        <w:t> </w:t>
      </w:r>
      <w:r>
        <w:rPr>
          <w:sz w:val="20"/>
        </w:rPr>
        <w:t>meeting</w:t>
      </w:r>
      <w:r>
        <w:rPr>
          <w:spacing w:val="-12"/>
          <w:sz w:val="20"/>
        </w:rPr>
        <w:t> </w:t>
      </w:r>
      <w:r>
        <w:rPr>
          <w:sz w:val="20"/>
        </w:rPr>
        <w:t>with</w:t>
      </w:r>
      <w:r>
        <w:rPr>
          <w:spacing w:val="-11"/>
          <w:sz w:val="20"/>
        </w:rPr>
        <w:t> </w:t>
      </w:r>
      <w:r>
        <w:rPr>
          <w:sz w:val="20"/>
        </w:rPr>
        <w:t>Saskatchewan</w:t>
      </w:r>
      <w:r>
        <w:rPr>
          <w:spacing w:val="-12"/>
          <w:sz w:val="20"/>
        </w:rPr>
        <w:t> </w:t>
      </w:r>
      <w:r>
        <w:rPr>
          <w:sz w:val="20"/>
        </w:rPr>
        <w:t>Government,</w:t>
      </w:r>
      <w:r>
        <w:rPr>
          <w:spacing w:val="-13"/>
          <w:sz w:val="20"/>
        </w:rPr>
        <w:t> </w:t>
      </w:r>
      <w:r>
        <w:rPr>
          <w:sz w:val="20"/>
        </w:rPr>
        <w:t>Varma</w:t>
      </w:r>
      <w:r>
        <w:rPr>
          <w:spacing w:val="-11"/>
          <w:sz w:val="20"/>
        </w:rPr>
        <w:t> </w:t>
      </w:r>
      <w:r>
        <w:rPr>
          <w:sz w:val="20"/>
        </w:rPr>
        <w:t>had</w:t>
      </w:r>
      <w:r>
        <w:rPr>
          <w:spacing w:val="-12"/>
          <w:sz w:val="20"/>
        </w:rPr>
        <w:t> </w:t>
      </w:r>
      <w:r>
        <w:rPr>
          <w:sz w:val="20"/>
        </w:rPr>
        <w:t>provided</w:t>
      </w:r>
      <w:r>
        <w:rPr>
          <w:spacing w:val="-12"/>
          <w:sz w:val="20"/>
        </w:rPr>
        <w:t> </w:t>
      </w:r>
      <w:r>
        <w:rPr>
          <w:sz w:val="20"/>
        </w:rPr>
        <w:t>me</w:t>
      </w:r>
      <w:r>
        <w:rPr>
          <w:spacing w:val="-11"/>
          <w:sz w:val="20"/>
        </w:rPr>
        <w:t> </w:t>
      </w:r>
      <w:r>
        <w:rPr>
          <w:sz w:val="20"/>
        </w:rPr>
        <w:t>with a draft of his presentation to the Saskatchewan Government, indicating that Wynyard was the location of the Nitrogen Project. Favreau and I immediately called Varma and told him that was incorrect,</w:t>
      </w:r>
      <w:r>
        <w:rPr>
          <w:spacing w:val="-7"/>
          <w:sz w:val="20"/>
        </w:rPr>
        <w:t> </w:t>
      </w:r>
      <w:r>
        <w:rPr>
          <w:sz w:val="20"/>
        </w:rPr>
        <w:t>and</w:t>
      </w:r>
      <w:r>
        <w:rPr>
          <w:spacing w:val="-7"/>
          <w:sz w:val="20"/>
        </w:rPr>
        <w:t> </w:t>
      </w:r>
      <w:r>
        <w:rPr>
          <w:sz w:val="20"/>
        </w:rPr>
        <w:t>Varma</w:t>
      </w:r>
      <w:r>
        <w:rPr>
          <w:spacing w:val="-7"/>
          <w:sz w:val="20"/>
        </w:rPr>
        <w:t> </w:t>
      </w:r>
      <w:r>
        <w:rPr>
          <w:sz w:val="20"/>
        </w:rPr>
        <w:t>acknowledged</w:t>
      </w:r>
      <w:r>
        <w:rPr>
          <w:spacing w:val="-6"/>
          <w:sz w:val="20"/>
        </w:rPr>
        <w:t> </w:t>
      </w:r>
      <w:r>
        <w:rPr>
          <w:sz w:val="20"/>
        </w:rPr>
        <w:t>that</w:t>
      </w:r>
      <w:r>
        <w:rPr>
          <w:spacing w:val="-7"/>
          <w:sz w:val="20"/>
        </w:rPr>
        <w:t> </w:t>
      </w:r>
      <w:r>
        <w:rPr>
          <w:sz w:val="20"/>
        </w:rPr>
        <w:t>it</w:t>
      </w:r>
      <w:r>
        <w:rPr>
          <w:spacing w:val="-7"/>
          <w:sz w:val="20"/>
        </w:rPr>
        <w:t> </w:t>
      </w:r>
      <w:r>
        <w:rPr>
          <w:sz w:val="20"/>
        </w:rPr>
        <w:t>was</w:t>
      </w:r>
      <w:r>
        <w:rPr>
          <w:spacing w:val="-7"/>
          <w:sz w:val="20"/>
        </w:rPr>
        <w:t> </w:t>
      </w:r>
      <w:r>
        <w:rPr>
          <w:sz w:val="20"/>
        </w:rPr>
        <w:t>a</w:t>
      </w:r>
      <w:r>
        <w:rPr>
          <w:spacing w:val="-6"/>
          <w:sz w:val="20"/>
        </w:rPr>
        <w:t> </w:t>
      </w:r>
      <w:r>
        <w:rPr>
          <w:sz w:val="20"/>
        </w:rPr>
        <w:t>mistake</w:t>
      </w:r>
      <w:r>
        <w:rPr>
          <w:spacing w:val="-6"/>
          <w:sz w:val="20"/>
        </w:rPr>
        <w:t> </w:t>
      </w:r>
      <w:r>
        <w:rPr>
          <w:sz w:val="20"/>
        </w:rPr>
        <w:t>and</w:t>
      </w:r>
      <w:r>
        <w:rPr>
          <w:spacing w:val="-6"/>
          <w:sz w:val="20"/>
        </w:rPr>
        <w:t> </w:t>
      </w:r>
      <w:r>
        <w:rPr>
          <w:sz w:val="20"/>
        </w:rPr>
        <w:t>that</w:t>
      </w:r>
      <w:r>
        <w:rPr>
          <w:spacing w:val="-8"/>
          <w:sz w:val="20"/>
        </w:rPr>
        <w:t> </w:t>
      </w:r>
      <w:r>
        <w:rPr>
          <w:sz w:val="20"/>
        </w:rPr>
        <w:t>he</w:t>
      </w:r>
      <w:r>
        <w:rPr>
          <w:spacing w:val="-6"/>
          <w:sz w:val="20"/>
        </w:rPr>
        <w:t> </w:t>
      </w:r>
      <w:r>
        <w:rPr>
          <w:sz w:val="20"/>
        </w:rPr>
        <w:t>would</w:t>
      </w:r>
      <w:r>
        <w:rPr>
          <w:spacing w:val="-7"/>
          <w:sz w:val="20"/>
        </w:rPr>
        <w:t> </w:t>
      </w:r>
      <w:r>
        <w:rPr>
          <w:sz w:val="20"/>
        </w:rPr>
        <w:t>change</w:t>
      </w:r>
      <w:r>
        <w:rPr>
          <w:spacing w:val="-6"/>
          <w:sz w:val="20"/>
        </w:rPr>
        <w:t> </w:t>
      </w:r>
      <w:r>
        <w:rPr>
          <w:sz w:val="20"/>
        </w:rPr>
        <w:t>the</w:t>
      </w:r>
      <w:r>
        <w:rPr>
          <w:spacing w:val="-6"/>
          <w:sz w:val="20"/>
        </w:rPr>
        <w:t> </w:t>
      </w:r>
      <w:r>
        <w:rPr>
          <w:sz w:val="20"/>
        </w:rPr>
        <w:t>location</w:t>
      </w:r>
      <w:r>
        <w:rPr>
          <w:spacing w:val="-6"/>
          <w:sz w:val="20"/>
        </w:rPr>
        <w:t> </w:t>
      </w:r>
      <w:r>
        <w:rPr>
          <w:sz w:val="20"/>
        </w:rPr>
        <w:t>to Saskatoon.</w:t>
      </w:r>
    </w:p>
    <w:p>
      <w:pPr>
        <w:pStyle w:val="BodyText"/>
        <w:spacing w:before="9"/>
      </w:pPr>
    </w:p>
    <w:p>
      <w:pPr>
        <w:pStyle w:val="ListParagraph"/>
        <w:numPr>
          <w:ilvl w:val="0"/>
          <w:numId w:val="1"/>
        </w:numPr>
        <w:tabs>
          <w:tab w:pos="841" w:val="left" w:leader="none"/>
        </w:tabs>
        <w:spacing w:line="360" w:lineRule="auto" w:before="0" w:after="0"/>
        <w:ind w:left="839" w:right="1155" w:hanging="720"/>
        <w:jc w:val="both"/>
        <w:rPr>
          <w:sz w:val="20"/>
        </w:rPr>
      </w:pPr>
      <w:r>
        <w:rPr>
          <w:sz w:val="20"/>
        </w:rPr>
        <w:t>In</w:t>
      </w:r>
      <w:r>
        <w:rPr>
          <w:spacing w:val="-6"/>
          <w:sz w:val="20"/>
        </w:rPr>
        <w:t> </w:t>
      </w:r>
      <w:r>
        <w:rPr>
          <w:sz w:val="20"/>
        </w:rPr>
        <w:t>February</w:t>
      </w:r>
      <w:r>
        <w:rPr>
          <w:spacing w:val="-5"/>
          <w:sz w:val="20"/>
        </w:rPr>
        <w:t> </w:t>
      </w:r>
      <w:r>
        <w:rPr>
          <w:sz w:val="20"/>
        </w:rPr>
        <w:t>2019,</w:t>
      </w:r>
      <w:r>
        <w:rPr>
          <w:spacing w:val="-6"/>
          <w:sz w:val="20"/>
        </w:rPr>
        <w:t> </w:t>
      </w:r>
      <w:r>
        <w:rPr>
          <w:sz w:val="20"/>
        </w:rPr>
        <w:t>at</w:t>
      </w:r>
      <w:r>
        <w:rPr>
          <w:spacing w:val="-6"/>
          <w:sz w:val="20"/>
        </w:rPr>
        <w:t> </w:t>
      </w:r>
      <w:r>
        <w:rPr>
          <w:sz w:val="20"/>
        </w:rPr>
        <w:t>the</w:t>
      </w:r>
      <w:r>
        <w:rPr>
          <w:spacing w:val="-5"/>
          <w:sz w:val="20"/>
        </w:rPr>
        <w:t> </w:t>
      </w:r>
      <w:r>
        <w:rPr>
          <w:sz w:val="20"/>
        </w:rPr>
        <w:t>meeting</w:t>
      </w:r>
      <w:r>
        <w:rPr>
          <w:spacing w:val="-5"/>
          <w:sz w:val="20"/>
        </w:rPr>
        <w:t> </w:t>
      </w:r>
      <w:r>
        <w:rPr>
          <w:sz w:val="20"/>
        </w:rPr>
        <w:t>with</w:t>
      </w:r>
      <w:r>
        <w:rPr>
          <w:spacing w:val="-5"/>
          <w:sz w:val="20"/>
        </w:rPr>
        <w:t> </w:t>
      </w:r>
      <w:r>
        <w:rPr>
          <w:sz w:val="20"/>
        </w:rPr>
        <w:t>the</w:t>
      </w:r>
      <w:r>
        <w:rPr>
          <w:spacing w:val="-5"/>
          <w:sz w:val="20"/>
        </w:rPr>
        <w:t> </w:t>
      </w:r>
      <w:r>
        <w:rPr>
          <w:sz w:val="20"/>
        </w:rPr>
        <w:t>Saskatchewan</w:t>
      </w:r>
      <w:r>
        <w:rPr>
          <w:spacing w:val="-5"/>
          <w:sz w:val="20"/>
        </w:rPr>
        <w:t> </w:t>
      </w:r>
      <w:r>
        <w:rPr>
          <w:sz w:val="20"/>
        </w:rPr>
        <w:t>Government,</w:t>
      </w:r>
      <w:r>
        <w:rPr>
          <w:spacing w:val="-6"/>
          <w:sz w:val="20"/>
        </w:rPr>
        <w:t> </w:t>
      </w:r>
      <w:r>
        <w:rPr>
          <w:sz w:val="20"/>
        </w:rPr>
        <w:t>attended</w:t>
      </w:r>
      <w:r>
        <w:rPr>
          <w:spacing w:val="-5"/>
          <w:sz w:val="20"/>
        </w:rPr>
        <w:t> </w:t>
      </w:r>
      <w:r>
        <w:rPr>
          <w:sz w:val="20"/>
        </w:rPr>
        <w:t>by</w:t>
      </w:r>
      <w:r>
        <w:rPr>
          <w:spacing w:val="-5"/>
          <w:sz w:val="20"/>
        </w:rPr>
        <w:t> </w:t>
      </w:r>
      <w:r>
        <w:rPr>
          <w:sz w:val="20"/>
        </w:rPr>
        <w:t>the</w:t>
      </w:r>
      <w:r>
        <w:rPr>
          <w:spacing w:val="-5"/>
          <w:sz w:val="20"/>
        </w:rPr>
        <w:t> </w:t>
      </w:r>
      <w:r>
        <w:rPr>
          <w:sz w:val="20"/>
        </w:rPr>
        <w:t>GSFC</w:t>
      </w:r>
      <w:r>
        <w:rPr>
          <w:spacing w:val="-5"/>
          <w:sz w:val="20"/>
        </w:rPr>
        <w:t> </w:t>
      </w:r>
      <w:r>
        <w:rPr>
          <w:sz w:val="20"/>
        </w:rPr>
        <w:t>MD, Varma, Nanavaty, Rowan, Favreau and me, Varma stated to the Saskatchewan Government that the Nitrogen Project was going to be situated at</w:t>
      </w:r>
      <w:r>
        <w:rPr>
          <w:spacing w:val="-11"/>
          <w:sz w:val="20"/>
        </w:rPr>
        <w:t> </w:t>
      </w:r>
      <w:r>
        <w:rPr>
          <w:sz w:val="20"/>
        </w:rPr>
        <w:t>Wynyard.</w:t>
      </w:r>
    </w:p>
    <w:p>
      <w:pPr>
        <w:pStyle w:val="BodyText"/>
        <w:rPr>
          <w:sz w:val="21"/>
        </w:rPr>
      </w:pPr>
    </w:p>
    <w:p>
      <w:pPr>
        <w:pStyle w:val="ListParagraph"/>
        <w:numPr>
          <w:ilvl w:val="0"/>
          <w:numId w:val="1"/>
        </w:numPr>
        <w:tabs>
          <w:tab w:pos="839" w:val="left" w:leader="none"/>
          <w:tab w:pos="840" w:val="left" w:leader="none"/>
        </w:tabs>
        <w:spacing w:line="240" w:lineRule="auto" w:before="0" w:after="0"/>
        <w:ind w:left="839" w:right="0" w:hanging="721"/>
        <w:jc w:val="left"/>
        <w:rPr>
          <w:sz w:val="20"/>
        </w:rPr>
      </w:pPr>
      <w:r>
        <w:rPr>
          <w:sz w:val="20"/>
        </w:rPr>
        <w:t>I verily believe</w:t>
      </w:r>
      <w:r>
        <w:rPr>
          <w:spacing w:val="-4"/>
          <w:sz w:val="20"/>
        </w:rPr>
        <w:t> </w:t>
      </w:r>
      <w:r>
        <w:rPr>
          <w:sz w:val="20"/>
        </w:rPr>
        <w:t>that:</w:t>
      </w:r>
    </w:p>
    <w:p>
      <w:pPr>
        <w:pStyle w:val="BodyText"/>
        <w:spacing w:before="10"/>
        <w:rPr>
          <w:sz w:val="30"/>
        </w:rPr>
      </w:pPr>
    </w:p>
    <w:p>
      <w:pPr>
        <w:pStyle w:val="ListParagraph"/>
        <w:numPr>
          <w:ilvl w:val="1"/>
          <w:numId w:val="1"/>
        </w:numPr>
        <w:tabs>
          <w:tab w:pos="1559" w:val="left" w:leader="none"/>
          <w:tab w:pos="1560" w:val="left" w:leader="none"/>
        </w:tabs>
        <w:spacing w:line="350" w:lineRule="auto" w:before="0" w:after="0"/>
        <w:ind w:left="1559" w:right="1158" w:hanging="721"/>
        <w:jc w:val="left"/>
        <w:rPr>
          <w:rFonts w:ascii="Symbol" w:hAnsi="Symbol"/>
          <w:sz w:val="20"/>
        </w:rPr>
      </w:pPr>
      <w:r>
        <w:rPr>
          <w:sz w:val="20"/>
        </w:rPr>
        <w:t>Varma had intentionally lied to Favreau and me that he was going to change his presentation;</w:t>
      </w:r>
    </w:p>
    <w:p>
      <w:pPr>
        <w:spacing w:after="0" w:line="350" w:lineRule="auto"/>
        <w:jc w:val="left"/>
        <w:rPr>
          <w:rFonts w:ascii="Symbol" w:hAnsi="Symbol"/>
          <w:sz w:val="20"/>
        </w:rPr>
        <w:sectPr>
          <w:pgSz w:w="12240" w:h="15840"/>
          <w:pgMar w:header="0" w:footer="1259" w:top="1220" w:bottom="1440" w:left="1320" w:right="280"/>
        </w:sectPr>
      </w:pPr>
    </w:p>
    <w:p>
      <w:pPr>
        <w:pStyle w:val="ListParagraph"/>
        <w:numPr>
          <w:ilvl w:val="1"/>
          <w:numId w:val="1"/>
        </w:numPr>
        <w:tabs>
          <w:tab w:pos="1559" w:val="left" w:leader="none"/>
          <w:tab w:pos="1561" w:val="left" w:leader="none"/>
        </w:tabs>
        <w:spacing w:line="350" w:lineRule="auto" w:before="76" w:after="0"/>
        <w:ind w:left="1560" w:right="1157" w:hanging="721"/>
        <w:jc w:val="both"/>
        <w:rPr>
          <w:rFonts w:ascii="Symbol" w:hAnsi="Symbol"/>
          <w:sz w:val="20"/>
        </w:rPr>
      </w:pPr>
      <w:r>
        <w:rPr>
          <w:sz w:val="20"/>
        </w:rPr>
        <w:t>Varma’s presentation of Wynyard to the Saskatchewan Government clearly illustrated Varma’s intention to locate the Nitrogen Project next to the Potash Project at</w:t>
      </w:r>
      <w:r>
        <w:rPr>
          <w:spacing w:val="-29"/>
          <w:sz w:val="20"/>
        </w:rPr>
        <w:t> </w:t>
      </w:r>
      <w:r>
        <w:rPr>
          <w:sz w:val="20"/>
        </w:rPr>
        <w:t>Wynyard;</w:t>
      </w:r>
    </w:p>
    <w:p>
      <w:pPr>
        <w:pStyle w:val="BodyText"/>
        <w:spacing w:before="8"/>
        <w:rPr>
          <w:sz w:val="21"/>
        </w:rPr>
      </w:pPr>
    </w:p>
    <w:p>
      <w:pPr>
        <w:pStyle w:val="ListParagraph"/>
        <w:numPr>
          <w:ilvl w:val="1"/>
          <w:numId w:val="1"/>
        </w:numPr>
        <w:tabs>
          <w:tab w:pos="1559" w:val="left" w:leader="none"/>
          <w:tab w:pos="1561" w:val="left" w:leader="none"/>
        </w:tabs>
        <w:spacing w:line="240" w:lineRule="auto" w:before="1" w:after="0"/>
        <w:ind w:left="1560" w:right="0" w:hanging="721"/>
        <w:jc w:val="left"/>
        <w:rPr>
          <w:rFonts w:ascii="Symbol" w:hAnsi="Symbol"/>
          <w:sz w:val="20"/>
        </w:rPr>
      </w:pPr>
      <w:r>
        <w:rPr>
          <w:sz w:val="20"/>
        </w:rPr>
        <w:t>clearly illustrated Varma’s bias towards Wynyard;</w:t>
      </w:r>
      <w:r>
        <w:rPr>
          <w:spacing w:val="-5"/>
          <w:sz w:val="20"/>
        </w:rPr>
        <w:t> </w:t>
      </w:r>
      <w:r>
        <w:rPr>
          <w:sz w:val="20"/>
        </w:rPr>
        <w:t>and</w:t>
      </w:r>
    </w:p>
    <w:p>
      <w:pPr>
        <w:pStyle w:val="BodyText"/>
        <w:spacing w:before="8"/>
        <w:rPr>
          <w:sz w:val="30"/>
        </w:rPr>
      </w:pPr>
    </w:p>
    <w:p>
      <w:pPr>
        <w:pStyle w:val="ListParagraph"/>
        <w:numPr>
          <w:ilvl w:val="1"/>
          <w:numId w:val="1"/>
        </w:numPr>
        <w:tabs>
          <w:tab w:pos="1559" w:val="left" w:leader="none"/>
          <w:tab w:pos="1561" w:val="left" w:leader="none"/>
        </w:tabs>
        <w:spacing w:line="240" w:lineRule="auto" w:before="0" w:after="0"/>
        <w:ind w:left="1560" w:right="0" w:hanging="721"/>
        <w:jc w:val="left"/>
        <w:rPr>
          <w:rFonts w:ascii="Symbol" w:hAnsi="Symbol"/>
          <w:sz w:val="20"/>
        </w:rPr>
      </w:pPr>
      <w:r>
        <w:rPr>
          <w:sz w:val="20"/>
        </w:rPr>
        <w:t>demonstrated that</w:t>
      </w:r>
      <w:r>
        <w:rPr>
          <w:spacing w:val="-4"/>
          <w:sz w:val="20"/>
        </w:rPr>
        <w:t> </w:t>
      </w:r>
      <w:r>
        <w:rPr>
          <w:sz w:val="20"/>
        </w:rPr>
        <w:t>Varma:</w:t>
      </w:r>
    </w:p>
    <w:p>
      <w:pPr>
        <w:pStyle w:val="BodyText"/>
        <w:spacing w:before="9"/>
        <w:rPr>
          <w:sz w:val="30"/>
        </w:rPr>
      </w:pPr>
    </w:p>
    <w:p>
      <w:pPr>
        <w:pStyle w:val="ListParagraph"/>
        <w:numPr>
          <w:ilvl w:val="2"/>
          <w:numId w:val="1"/>
        </w:numPr>
        <w:tabs>
          <w:tab w:pos="2279" w:val="left" w:leader="none"/>
          <w:tab w:pos="2280" w:val="left" w:leader="none"/>
        </w:tabs>
        <w:spacing w:line="350" w:lineRule="auto" w:before="0" w:after="0"/>
        <w:ind w:left="2279" w:right="1157" w:hanging="721"/>
        <w:jc w:val="left"/>
        <w:rPr>
          <w:sz w:val="20"/>
        </w:rPr>
      </w:pPr>
      <w:r>
        <w:rPr>
          <w:sz w:val="20"/>
        </w:rPr>
        <w:t>was,</w:t>
      </w:r>
      <w:r>
        <w:rPr>
          <w:spacing w:val="-7"/>
          <w:sz w:val="20"/>
        </w:rPr>
        <w:t> </w:t>
      </w:r>
      <w:r>
        <w:rPr>
          <w:sz w:val="20"/>
        </w:rPr>
        <w:t>after</w:t>
      </w:r>
      <w:r>
        <w:rPr>
          <w:spacing w:val="-5"/>
          <w:sz w:val="20"/>
        </w:rPr>
        <w:t> </w:t>
      </w:r>
      <w:r>
        <w:rPr>
          <w:sz w:val="20"/>
        </w:rPr>
        <w:t>GSFC</w:t>
      </w:r>
      <w:r>
        <w:rPr>
          <w:spacing w:val="-5"/>
          <w:sz w:val="20"/>
        </w:rPr>
        <w:t> </w:t>
      </w:r>
      <w:r>
        <w:rPr>
          <w:sz w:val="20"/>
        </w:rPr>
        <w:t>obtained</w:t>
      </w:r>
      <w:r>
        <w:rPr>
          <w:spacing w:val="-5"/>
          <w:sz w:val="20"/>
        </w:rPr>
        <w:t> </w:t>
      </w:r>
      <w:r>
        <w:rPr>
          <w:sz w:val="20"/>
        </w:rPr>
        <w:t>control</w:t>
      </w:r>
      <w:r>
        <w:rPr>
          <w:spacing w:val="-6"/>
          <w:sz w:val="20"/>
        </w:rPr>
        <w:t> </w:t>
      </w:r>
      <w:r>
        <w:rPr>
          <w:sz w:val="20"/>
        </w:rPr>
        <w:t>of</w:t>
      </w:r>
      <w:r>
        <w:rPr>
          <w:spacing w:val="-6"/>
          <w:sz w:val="20"/>
        </w:rPr>
        <w:t> </w:t>
      </w:r>
      <w:r>
        <w:rPr>
          <w:sz w:val="20"/>
        </w:rPr>
        <w:t>the</w:t>
      </w:r>
      <w:r>
        <w:rPr>
          <w:spacing w:val="-5"/>
          <w:sz w:val="20"/>
        </w:rPr>
        <w:t> </w:t>
      </w:r>
      <w:r>
        <w:rPr>
          <w:sz w:val="20"/>
        </w:rPr>
        <w:t>KRN</w:t>
      </w:r>
      <w:r>
        <w:rPr>
          <w:spacing w:val="-5"/>
          <w:sz w:val="20"/>
        </w:rPr>
        <w:t> </w:t>
      </w:r>
      <w:r>
        <w:rPr>
          <w:sz w:val="20"/>
        </w:rPr>
        <w:t>Board,</w:t>
      </w:r>
      <w:r>
        <w:rPr>
          <w:spacing w:val="-6"/>
          <w:sz w:val="20"/>
        </w:rPr>
        <w:t> </w:t>
      </w:r>
      <w:r>
        <w:rPr>
          <w:sz w:val="20"/>
        </w:rPr>
        <w:t>was</w:t>
      </w:r>
      <w:r>
        <w:rPr>
          <w:spacing w:val="-5"/>
          <w:sz w:val="20"/>
        </w:rPr>
        <w:t> </w:t>
      </w:r>
      <w:r>
        <w:rPr>
          <w:sz w:val="20"/>
        </w:rPr>
        <w:t>now</w:t>
      </w:r>
      <w:r>
        <w:rPr>
          <w:spacing w:val="-5"/>
          <w:sz w:val="20"/>
        </w:rPr>
        <w:t> </w:t>
      </w:r>
      <w:r>
        <w:rPr>
          <w:sz w:val="20"/>
        </w:rPr>
        <w:t>treating</w:t>
      </w:r>
      <w:r>
        <w:rPr>
          <w:spacing w:val="-5"/>
          <w:sz w:val="20"/>
        </w:rPr>
        <w:t> </w:t>
      </w:r>
      <w:r>
        <w:rPr>
          <w:sz w:val="20"/>
        </w:rPr>
        <w:t>KRN</w:t>
      </w:r>
      <w:r>
        <w:rPr>
          <w:spacing w:val="-6"/>
          <w:sz w:val="20"/>
        </w:rPr>
        <w:t> </w:t>
      </w:r>
      <w:r>
        <w:rPr>
          <w:sz w:val="20"/>
        </w:rPr>
        <w:t>as</w:t>
      </w:r>
      <w:r>
        <w:rPr>
          <w:spacing w:val="-5"/>
          <w:sz w:val="20"/>
        </w:rPr>
        <w:t> </w:t>
      </w:r>
      <w:r>
        <w:rPr>
          <w:sz w:val="20"/>
        </w:rPr>
        <w:t>his private</w:t>
      </w:r>
      <w:r>
        <w:rPr>
          <w:spacing w:val="-2"/>
          <w:sz w:val="20"/>
        </w:rPr>
        <w:t> </w:t>
      </w:r>
      <w:r>
        <w:rPr>
          <w:sz w:val="20"/>
        </w:rPr>
        <w:t>company;</w:t>
      </w:r>
    </w:p>
    <w:p>
      <w:pPr>
        <w:pStyle w:val="BodyText"/>
        <w:spacing w:before="8"/>
        <w:rPr>
          <w:sz w:val="21"/>
        </w:rPr>
      </w:pPr>
    </w:p>
    <w:p>
      <w:pPr>
        <w:pStyle w:val="ListParagraph"/>
        <w:numPr>
          <w:ilvl w:val="2"/>
          <w:numId w:val="1"/>
        </w:numPr>
        <w:tabs>
          <w:tab w:pos="2279" w:val="left" w:leader="none"/>
          <w:tab w:pos="2280" w:val="left" w:leader="none"/>
        </w:tabs>
        <w:spacing w:line="350" w:lineRule="auto" w:before="0" w:after="0"/>
        <w:ind w:left="2279" w:right="1158" w:hanging="721"/>
        <w:jc w:val="left"/>
        <w:rPr>
          <w:sz w:val="20"/>
        </w:rPr>
      </w:pPr>
      <w:r>
        <w:rPr>
          <w:sz w:val="20"/>
        </w:rPr>
        <w:t>was</w:t>
      </w:r>
      <w:r>
        <w:rPr>
          <w:spacing w:val="-4"/>
          <w:sz w:val="20"/>
        </w:rPr>
        <w:t> </w:t>
      </w:r>
      <w:r>
        <w:rPr>
          <w:sz w:val="20"/>
        </w:rPr>
        <w:t>not</w:t>
      </w:r>
      <w:r>
        <w:rPr>
          <w:spacing w:val="-5"/>
          <w:sz w:val="20"/>
        </w:rPr>
        <w:t> </w:t>
      </w:r>
      <w:r>
        <w:rPr>
          <w:sz w:val="20"/>
        </w:rPr>
        <w:t>interested</w:t>
      </w:r>
      <w:r>
        <w:rPr>
          <w:spacing w:val="-3"/>
          <w:sz w:val="20"/>
        </w:rPr>
        <w:t> </w:t>
      </w:r>
      <w:r>
        <w:rPr>
          <w:sz w:val="20"/>
        </w:rPr>
        <w:t>in</w:t>
      </w:r>
      <w:r>
        <w:rPr>
          <w:spacing w:val="-4"/>
          <w:sz w:val="20"/>
        </w:rPr>
        <w:t> </w:t>
      </w:r>
      <w:r>
        <w:rPr>
          <w:sz w:val="20"/>
        </w:rPr>
        <w:t>taking</w:t>
      </w:r>
      <w:r>
        <w:rPr>
          <w:spacing w:val="-3"/>
          <w:sz w:val="20"/>
        </w:rPr>
        <w:t> </w:t>
      </w:r>
      <w:r>
        <w:rPr>
          <w:sz w:val="20"/>
        </w:rPr>
        <w:t>any</w:t>
      </w:r>
      <w:r>
        <w:rPr>
          <w:spacing w:val="-4"/>
          <w:sz w:val="20"/>
        </w:rPr>
        <w:t> </w:t>
      </w:r>
      <w:r>
        <w:rPr>
          <w:sz w:val="20"/>
        </w:rPr>
        <w:t>advice</w:t>
      </w:r>
      <w:r>
        <w:rPr>
          <w:spacing w:val="-4"/>
          <w:sz w:val="20"/>
        </w:rPr>
        <w:t> </w:t>
      </w:r>
      <w:r>
        <w:rPr>
          <w:sz w:val="20"/>
        </w:rPr>
        <w:t>from</w:t>
      </w:r>
      <w:r>
        <w:rPr>
          <w:spacing w:val="-4"/>
          <w:sz w:val="20"/>
        </w:rPr>
        <w:t> </w:t>
      </w:r>
      <w:r>
        <w:rPr>
          <w:sz w:val="20"/>
        </w:rPr>
        <w:t>me,</w:t>
      </w:r>
      <w:r>
        <w:rPr>
          <w:spacing w:val="-4"/>
          <w:sz w:val="20"/>
        </w:rPr>
        <w:t> </w:t>
      </w:r>
      <w:r>
        <w:rPr>
          <w:sz w:val="20"/>
        </w:rPr>
        <w:t>Rowan,</w:t>
      </w:r>
      <w:r>
        <w:rPr>
          <w:spacing w:val="-5"/>
          <w:sz w:val="20"/>
        </w:rPr>
        <w:t> </w:t>
      </w:r>
      <w:r>
        <w:rPr>
          <w:sz w:val="20"/>
        </w:rPr>
        <w:t>the</w:t>
      </w:r>
      <w:r>
        <w:rPr>
          <w:spacing w:val="-4"/>
          <w:sz w:val="20"/>
        </w:rPr>
        <w:t> </w:t>
      </w:r>
      <w:r>
        <w:rPr>
          <w:sz w:val="20"/>
        </w:rPr>
        <w:t>AgCo,</w:t>
      </w:r>
      <w:r>
        <w:rPr>
          <w:spacing w:val="-4"/>
          <w:sz w:val="20"/>
        </w:rPr>
        <w:t> </w:t>
      </w:r>
      <w:r>
        <w:rPr>
          <w:sz w:val="20"/>
        </w:rPr>
        <w:t>or</w:t>
      </w:r>
      <w:r>
        <w:rPr>
          <w:spacing w:val="-4"/>
          <w:sz w:val="20"/>
        </w:rPr>
        <w:t> </w:t>
      </w:r>
      <w:r>
        <w:rPr>
          <w:sz w:val="20"/>
        </w:rPr>
        <w:t>the</w:t>
      </w:r>
      <w:r>
        <w:rPr>
          <w:spacing w:val="-3"/>
          <w:sz w:val="20"/>
        </w:rPr>
        <w:t> </w:t>
      </w:r>
      <w:r>
        <w:rPr>
          <w:sz w:val="20"/>
        </w:rPr>
        <w:t>AgCo’s landman, on potential project sites for the Nitrogen Project;</w:t>
      </w:r>
      <w:r>
        <w:rPr>
          <w:spacing w:val="-12"/>
          <w:sz w:val="20"/>
        </w:rPr>
        <w:t> </w:t>
      </w:r>
      <w:r>
        <w:rPr>
          <w:sz w:val="20"/>
        </w:rPr>
        <w:t>and</w:t>
      </w:r>
    </w:p>
    <w:p>
      <w:pPr>
        <w:pStyle w:val="BodyText"/>
        <w:spacing w:before="9"/>
        <w:rPr>
          <w:sz w:val="21"/>
        </w:rPr>
      </w:pPr>
    </w:p>
    <w:p>
      <w:pPr>
        <w:pStyle w:val="ListParagraph"/>
        <w:numPr>
          <w:ilvl w:val="2"/>
          <w:numId w:val="1"/>
        </w:numPr>
        <w:tabs>
          <w:tab w:pos="2279" w:val="left" w:leader="none"/>
          <w:tab w:pos="2280" w:val="left" w:leader="none"/>
        </w:tabs>
        <w:spacing w:line="240" w:lineRule="auto" w:before="0" w:after="0"/>
        <w:ind w:left="2279" w:right="0" w:hanging="721"/>
        <w:jc w:val="left"/>
        <w:rPr>
          <w:sz w:val="20"/>
        </w:rPr>
      </w:pPr>
      <w:r>
        <w:rPr>
          <w:sz w:val="20"/>
        </w:rPr>
        <w:t>was clearly using the Nitrogen Project as a stalking horse for the Potash</w:t>
      </w:r>
      <w:r>
        <w:rPr>
          <w:spacing w:val="-20"/>
          <w:sz w:val="20"/>
        </w:rPr>
        <w:t> </w:t>
      </w:r>
      <w:r>
        <w:rPr>
          <w:sz w:val="20"/>
        </w:rPr>
        <w:t>Project.</w:t>
      </w:r>
    </w:p>
    <w:p>
      <w:pPr>
        <w:pStyle w:val="BodyText"/>
        <w:spacing w:before="7"/>
        <w:rPr>
          <w:sz w:val="30"/>
        </w:rPr>
      </w:pPr>
    </w:p>
    <w:p>
      <w:pPr>
        <w:pStyle w:val="ListParagraph"/>
        <w:numPr>
          <w:ilvl w:val="0"/>
          <w:numId w:val="1"/>
        </w:numPr>
        <w:tabs>
          <w:tab w:pos="840" w:val="left" w:leader="none"/>
        </w:tabs>
        <w:spacing w:line="360" w:lineRule="auto" w:before="1" w:after="0"/>
        <w:ind w:left="839" w:right="1157" w:hanging="721"/>
        <w:jc w:val="both"/>
        <w:rPr>
          <w:sz w:val="20"/>
        </w:rPr>
      </w:pPr>
      <w:r>
        <w:rPr>
          <w:sz w:val="20"/>
        </w:rPr>
        <w:t>In August 2019, Varma had his staff in India prepare a presentation for the KRN Board outlining why Wynyard, the location of the Potash Project, was the perfect, and ideal, location for the Nitrogen</w:t>
      </w:r>
      <w:r>
        <w:rPr>
          <w:spacing w:val="-2"/>
          <w:sz w:val="20"/>
        </w:rPr>
        <w:t> </w:t>
      </w:r>
      <w:r>
        <w:rPr>
          <w:sz w:val="20"/>
        </w:rPr>
        <w:t>Project.</w:t>
      </w:r>
    </w:p>
    <w:p>
      <w:pPr>
        <w:pStyle w:val="BodyText"/>
        <w:spacing w:before="9"/>
      </w:pPr>
    </w:p>
    <w:p>
      <w:pPr>
        <w:pStyle w:val="ListParagraph"/>
        <w:numPr>
          <w:ilvl w:val="0"/>
          <w:numId w:val="1"/>
        </w:numPr>
        <w:tabs>
          <w:tab w:pos="840" w:val="left" w:leader="none"/>
        </w:tabs>
        <w:spacing w:line="360" w:lineRule="auto" w:before="0" w:after="0"/>
        <w:ind w:left="839" w:right="1156" w:hanging="721"/>
        <w:jc w:val="both"/>
        <w:rPr>
          <w:sz w:val="20"/>
        </w:rPr>
      </w:pPr>
      <w:r>
        <w:rPr>
          <w:sz w:val="20"/>
        </w:rPr>
        <w:t>I</w:t>
      </w:r>
      <w:r>
        <w:rPr>
          <w:spacing w:val="-9"/>
          <w:sz w:val="20"/>
        </w:rPr>
        <w:t> </w:t>
      </w:r>
      <w:r>
        <w:rPr>
          <w:sz w:val="20"/>
        </w:rPr>
        <w:t>verily</w:t>
      </w:r>
      <w:r>
        <w:rPr>
          <w:spacing w:val="-7"/>
          <w:sz w:val="20"/>
        </w:rPr>
        <w:t> </w:t>
      </w:r>
      <w:r>
        <w:rPr>
          <w:sz w:val="20"/>
        </w:rPr>
        <w:t>believe</w:t>
      </w:r>
      <w:r>
        <w:rPr>
          <w:spacing w:val="-8"/>
          <w:sz w:val="20"/>
        </w:rPr>
        <w:t> </w:t>
      </w:r>
      <w:r>
        <w:rPr>
          <w:sz w:val="20"/>
        </w:rPr>
        <w:t>that</w:t>
      </w:r>
      <w:r>
        <w:rPr>
          <w:spacing w:val="-8"/>
          <w:sz w:val="20"/>
        </w:rPr>
        <w:t> </w:t>
      </w:r>
      <w:r>
        <w:rPr>
          <w:sz w:val="20"/>
        </w:rPr>
        <w:t>neither</w:t>
      </w:r>
      <w:r>
        <w:rPr>
          <w:spacing w:val="-7"/>
          <w:sz w:val="20"/>
        </w:rPr>
        <w:t> </w:t>
      </w:r>
      <w:r>
        <w:rPr>
          <w:sz w:val="20"/>
        </w:rPr>
        <w:t>Varma,</w:t>
      </w:r>
      <w:r>
        <w:rPr>
          <w:spacing w:val="-8"/>
          <w:sz w:val="20"/>
        </w:rPr>
        <w:t> </w:t>
      </w:r>
      <w:r>
        <w:rPr>
          <w:sz w:val="20"/>
        </w:rPr>
        <w:t>nor</w:t>
      </w:r>
      <w:r>
        <w:rPr>
          <w:spacing w:val="-8"/>
          <w:sz w:val="20"/>
        </w:rPr>
        <w:t> </w:t>
      </w:r>
      <w:r>
        <w:rPr>
          <w:sz w:val="20"/>
        </w:rPr>
        <w:t>his</w:t>
      </w:r>
      <w:r>
        <w:rPr>
          <w:spacing w:val="-7"/>
          <w:sz w:val="20"/>
        </w:rPr>
        <w:t> </w:t>
      </w:r>
      <w:r>
        <w:rPr>
          <w:sz w:val="20"/>
        </w:rPr>
        <w:t>staff</w:t>
      </w:r>
      <w:r>
        <w:rPr>
          <w:spacing w:val="-8"/>
          <w:sz w:val="20"/>
        </w:rPr>
        <w:t> </w:t>
      </w:r>
      <w:r>
        <w:rPr>
          <w:sz w:val="20"/>
        </w:rPr>
        <w:t>in</w:t>
      </w:r>
      <w:r>
        <w:rPr>
          <w:spacing w:val="-8"/>
          <w:sz w:val="20"/>
        </w:rPr>
        <w:t> </w:t>
      </w:r>
      <w:r>
        <w:rPr>
          <w:sz w:val="20"/>
        </w:rPr>
        <w:t>India,</w:t>
      </w:r>
      <w:r>
        <w:rPr>
          <w:spacing w:val="-8"/>
          <w:sz w:val="20"/>
        </w:rPr>
        <w:t> </w:t>
      </w:r>
      <w:r>
        <w:rPr>
          <w:sz w:val="20"/>
        </w:rPr>
        <w:t>have</w:t>
      </w:r>
      <w:r>
        <w:rPr>
          <w:spacing w:val="-8"/>
          <w:sz w:val="20"/>
        </w:rPr>
        <w:t> </w:t>
      </w:r>
      <w:r>
        <w:rPr>
          <w:sz w:val="20"/>
        </w:rPr>
        <w:t>any</w:t>
      </w:r>
      <w:r>
        <w:rPr>
          <w:spacing w:val="-8"/>
          <w:sz w:val="20"/>
        </w:rPr>
        <w:t> </w:t>
      </w:r>
      <w:r>
        <w:rPr>
          <w:sz w:val="20"/>
        </w:rPr>
        <w:t>background</w:t>
      </w:r>
      <w:r>
        <w:rPr>
          <w:spacing w:val="-8"/>
          <w:sz w:val="20"/>
        </w:rPr>
        <w:t> </w:t>
      </w:r>
      <w:r>
        <w:rPr>
          <w:sz w:val="20"/>
        </w:rPr>
        <w:t>or</w:t>
      </w:r>
      <w:r>
        <w:rPr>
          <w:spacing w:val="-7"/>
          <w:sz w:val="20"/>
        </w:rPr>
        <w:t> </w:t>
      </w:r>
      <w:r>
        <w:rPr>
          <w:sz w:val="20"/>
        </w:rPr>
        <w:t>experience</w:t>
      </w:r>
      <w:r>
        <w:rPr>
          <w:spacing w:val="-8"/>
          <w:sz w:val="20"/>
        </w:rPr>
        <w:t> </w:t>
      </w:r>
      <w:r>
        <w:rPr>
          <w:sz w:val="20"/>
        </w:rPr>
        <w:t>in</w:t>
      </w:r>
      <w:r>
        <w:rPr>
          <w:spacing w:val="-9"/>
          <w:sz w:val="20"/>
        </w:rPr>
        <w:t> </w:t>
      </w:r>
      <w:r>
        <w:rPr>
          <w:sz w:val="20"/>
        </w:rPr>
        <w:t>how agricultural products are actually bought, sold, traded and transported in</w:t>
      </w:r>
      <w:r>
        <w:rPr>
          <w:spacing w:val="-19"/>
          <w:sz w:val="20"/>
        </w:rPr>
        <w:t> </w:t>
      </w:r>
      <w:r>
        <w:rPr>
          <w:sz w:val="20"/>
        </w:rPr>
        <w:t>Saskatchewan.</w:t>
      </w:r>
    </w:p>
    <w:p>
      <w:pPr>
        <w:pStyle w:val="BodyText"/>
        <w:spacing w:before="10"/>
      </w:pPr>
    </w:p>
    <w:p>
      <w:pPr>
        <w:pStyle w:val="ListParagraph"/>
        <w:numPr>
          <w:ilvl w:val="0"/>
          <w:numId w:val="1"/>
        </w:numPr>
        <w:tabs>
          <w:tab w:pos="840" w:val="left" w:leader="none"/>
        </w:tabs>
        <w:spacing w:line="360" w:lineRule="auto" w:before="0" w:after="0"/>
        <w:ind w:left="839" w:right="1157" w:hanging="721"/>
        <w:jc w:val="both"/>
        <w:rPr>
          <w:sz w:val="20"/>
        </w:rPr>
      </w:pPr>
      <w:r>
        <w:rPr>
          <w:sz w:val="20"/>
        </w:rPr>
        <w:t>I</w:t>
      </w:r>
      <w:r>
        <w:rPr>
          <w:spacing w:val="-4"/>
          <w:sz w:val="20"/>
        </w:rPr>
        <w:t> </w:t>
      </w:r>
      <w:r>
        <w:rPr>
          <w:sz w:val="20"/>
        </w:rPr>
        <w:t>verily</w:t>
      </w:r>
      <w:r>
        <w:rPr>
          <w:spacing w:val="-2"/>
          <w:sz w:val="20"/>
        </w:rPr>
        <w:t> </w:t>
      </w:r>
      <w:r>
        <w:rPr>
          <w:sz w:val="20"/>
        </w:rPr>
        <w:t>believe</w:t>
      </w:r>
      <w:r>
        <w:rPr>
          <w:spacing w:val="-3"/>
          <w:sz w:val="20"/>
        </w:rPr>
        <w:t> </w:t>
      </w:r>
      <w:r>
        <w:rPr>
          <w:sz w:val="20"/>
        </w:rPr>
        <w:t>that</w:t>
      </w:r>
      <w:r>
        <w:rPr>
          <w:spacing w:val="-3"/>
          <w:sz w:val="20"/>
        </w:rPr>
        <w:t> </w:t>
      </w:r>
      <w:r>
        <w:rPr>
          <w:sz w:val="20"/>
        </w:rPr>
        <w:t>Varma’s</w:t>
      </w:r>
      <w:r>
        <w:rPr>
          <w:spacing w:val="-2"/>
          <w:sz w:val="20"/>
        </w:rPr>
        <w:t> </w:t>
      </w:r>
      <w:r>
        <w:rPr>
          <w:sz w:val="20"/>
        </w:rPr>
        <w:t>selection</w:t>
      </w:r>
      <w:r>
        <w:rPr>
          <w:spacing w:val="-4"/>
          <w:sz w:val="20"/>
        </w:rPr>
        <w:t> </w:t>
      </w:r>
      <w:r>
        <w:rPr>
          <w:sz w:val="20"/>
        </w:rPr>
        <w:t>of</w:t>
      </w:r>
      <w:r>
        <w:rPr>
          <w:spacing w:val="-5"/>
          <w:sz w:val="20"/>
        </w:rPr>
        <w:t> </w:t>
      </w:r>
      <w:r>
        <w:rPr>
          <w:sz w:val="20"/>
        </w:rPr>
        <w:t>Wynyard</w:t>
      </w:r>
      <w:r>
        <w:rPr>
          <w:spacing w:val="-4"/>
          <w:sz w:val="20"/>
        </w:rPr>
        <w:t> </w:t>
      </w:r>
      <w:r>
        <w:rPr>
          <w:sz w:val="20"/>
        </w:rPr>
        <w:t>as</w:t>
      </w:r>
      <w:r>
        <w:rPr>
          <w:spacing w:val="-2"/>
          <w:sz w:val="20"/>
        </w:rPr>
        <w:t> </w:t>
      </w:r>
      <w:r>
        <w:rPr>
          <w:sz w:val="20"/>
        </w:rPr>
        <w:t>the</w:t>
      </w:r>
      <w:r>
        <w:rPr>
          <w:spacing w:val="-3"/>
          <w:sz w:val="20"/>
        </w:rPr>
        <w:t> </w:t>
      </w:r>
      <w:r>
        <w:rPr>
          <w:sz w:val="20"/>
        </w:rPr>
        <w:t>“</w:t>
      </w:r>
      <w:r>
        <w:rPr>
          <w:i/>
          <w:sz w:val="20"/>
        </w:rPr>
        <w:t>perfect</w:t>
      </w:r>
      <w:r>
        <w:rPr>
          <w:sz w:val="20"/>
        </w:rPr>
        <w:t>”</w:t>
      </w:r>
      <w:r>
        <w:rPr>
          <w:spacing w:val="-2"/>
          <w:sz w:val="20"/>
        </w:rPr>
        <w:t> </w:t>
      </w:r>
      <w:r>
        <w:rPr>
          <w:sz w:val="20"/>
        </w:rPr>
        <w:t>location</w:t>
      </w:r>
      <w:r>
        <w:rPr>
          <w:spacing w:val="-4"/>
          <w:sz w:val="20"/>
        </w:rPr>
        <w:t> </w:t>
      </w:r>
      <w:r>
        <w:rPr>
          <w:sz w:val="20"/>
        </w:rPr>
        <w:t>for</w:t>
      </w:r>
      <w:r>
        <w:rPr>
          <w:spacing w:val="-2"/>
          <w:sz w:val="20"/>
        </w:rPr>
        <w:t> </w:t>
      </w:r>
      <w:r>
        <w:rPr>
          <w:sz w:val="20"/>
        </w:rPr>
        <w:t>the</w:t>
      </w:r>
      <w:r>
        <w:rPr>
          <w:spacing w:val="-3"/>
          <w:sz w:val="20"/>
        </w:rPr>
        <w:t> </w:t>
      </w:r>
      <w:r>
        <w:rPr>
          <w:sz w:val="20"/>
        </w:rPr>
        <w:t>Nitrogen</w:t>
      </w:r>
      <w:r>
        <w:rPr>
          <w:spacing w:val="-3"/>
          <w:sz w:val="20"/>
        </w:rPr>
        <w:t> </w:t>
      </w:r>
      <w:r>
        <w:rPr>
          <w:sz w:val="20"/>
        </w:rPr>
        <w:t>Plant</w:t>
      </w:r>
      <w:r>
        <w:rPr>
          <w:spacing w:val="-3"/>
          <w:sz w:val="20"/>
        </w:rPr>
        <w:t> </w:t>
      </w:r>
      <w:r>
        <w:rPr>
          <w:sz w:val="20"/>
        </w:rPr>
        <w:t>is the clearest evidence of his bias, and reflects a singular focus on what is in the best interest of GSFC, and not what is in the best interests of all KRN</w:t>
      </w:r>
      <w:r>
        <w:rPr>
          <w:spacing w:val="-14"/>
          <w:sz w:val="20"/>
        </w:rPr>
        <w:t> </w:t>
      </w:r>
      <w:r>
        <w:rPr>
          <w:sz w:val="20"/>
        </w:rPr>
        <w:t>Shareholders.</w:t>
      </w:r>
    </w:p>
    <w:p>
      <w:pPr>
        <w:pStyle w:val="BodyText"/>
        <w:spacing w:before="10"/>
      </w:pPr>
    </w:p>
    <w:p>
      <w:pPr>
        <w:pStyle w:val="ListParagraph"/>
        <w:numPr>
          <w:ilvl w:val="0"/>
          <w:numId w:val="1"/>
        </w:numPr>
        <w:tabs>
          <w:tab w:pos="840" w:val="left" w:leader="none"/>
        </w:tabs>
        <w:spacing w:line="360" w:lineRule="auto" w:before="0" w:after="0"/>
        <w:ind w:left="839" w:right="1157" w:hanging="720"/>
        <w:jc w:val="both"/>
        <w:rPr>
          <w:sz w:val="20"/>
        </w:rPr>
      </w:pPr>
      <w:r>
        <w:rPr>
          <w:sz w:val="20"/>
        </w:rPr>
        <w:t>In August 2019, after Anjaria was appointed to the KRN Board, Anjaria told Rowan and me that, based on his experience in undertaking projects in</w:t>
      </w:r>
      <w:r>
        <w:rPr>
          <w:spacing w:val="-10"/>
          <w:sz w:val="20"/>
        </w:rPr>
        <w:t> </w:t>
      </w:r>
      <w:r>
        <w:rPr>
          <w:sz w:val="20"/>
        </w:rPr>
        <w:t>India:</w:t>
      </w:r>
    </w:p>
    <w:p>
      <w:pPr>
        <w:pStyle w:val="BodyText"/>
        <w:spacing w:before="11"/>
      </w:pPr>
    </w:p>
    <w:p>
      <w:pPr>
        <w:pStyle w:val="ListParagraph"/>
        <w:numPr>
          <w:ilvl w:val="1"/>
          <w:numId w:val="1"/>
        </w:numPr>
        <w:tabs>
          <w:tab w:pos="1559" w:val="left" w:leader="none"/>
          <w:tab w:pos="1560" w:val="left" w:leader="none"/>
        </w:tabs>
        <w:spacing w:line="355" w:lineRule="auto" w:before="0" w:after="0"/>
        <w:ind w:left="1559" w:right="1156" w:hanging="721"/>
        <w:jc w:val="both"/>
        <w:rPr>
          <w:rFonts w:ascii="Symbol" w:hAnsi="Symbol"/>
          <w:sz w:val="20"/>
        </w:rPr>
      </w:pPr>
      <w:r>
        <w:rPr>
          <w:sz w:val="20"/>
        </w:rPr>
        <w:t>standard business practice for project development in India project, was that project site selection only comes after the project is engineered and financed, and is ready for construction;</w:t>
      </w:r>
      <w:r>
        <w:rPr>
          <w:spacing w:val="-4"/>
          <w:sz w:val="20"/>
        </w:rPr>
        <w:t> </w:t>
      </w:r>
      <w:r>
        <w:rPr>
          <w:sz w:val="20"/>
        </w:rPr>
        <w:t>and</w:t>
      </w:r>
    </w:p>
    <w:p>
      <w:pPr>
        <w:pStyle w:val="BodyText"/>
        <w:spacing w:before="4"/>
        <w:rPr>
          <w:sz w:val="21"/>
        </w:rPr>
      </w:pPr>
    </w:p>
    <w:p>
      <w:pPr>
        <w:pStyle w:val="ListParagraph"/>
        <w:numPr>
          <w:ilvl w:val="1"/>
          <w:numId w:val="1"/>
        </w:numPr>
        <w:tabs>
          <w:tab w:pos="1559" w:val="left" w:leader="none"/>
          <w:tab w:pos="1560" w:val="left" w:leader="none"/>
        </w:tabs>
        <w:spacing w:line="350" w:lineRule="auto" w:before="0" w:after="0"/>
        <w:ind w:left="1559" w:right="1157" w:hanging="721"/>
        <w:jc w:val="both"/>
        <w:rPr>
          <w:rFonts w:ascii="Symbol" w:hAnsi="Symbol"/>
          <w:sz w:val="20"/>
        </w:rPr>
      </w:pPr>
      <w:r>
        <w:rPr>
          <w:sz w:val="20"/>
        </w:rPr>
        <w:t>accordingly,</w:t>
      </w:r>
      <w:r>
        <w:rPr>
          <w:spacing w:val="-8"/>
          <w:sz w:val="20"/>
        </w:rPr>
        <w:t> </w:t>
      </w:r>
      <w:r>
        <w:rPr>
          <w:sz w:val="20"/>
        </w:rPr>
        <w:t>site</w:t>
      </w:r>
      <w:r>
        <w:rPr>
          <w:spacing w:val="-6"/>
          <w:sz w:val="20"/>
        </w:rPr>
        <w:t> </w:t>
      </w:r>
      <w:r>
        <w:rPr>
          <w:sz w:val="20"/>
        </w:rPr>
        <w:t>selection</w:t>
      </w:r>
      <w:r>
        <w:rPr>
          <w:spacing w:val="-6"/>
          <w:sz w:val="20"/>
        </w:rPr>
        <w:t> </w:t>
      </w:r>
      <w:r>
        <w:rPr>
          <w:sz w:val="20"/>
        </w:rPr>
        <w:t>by</w:t>
      </w:r>
      <w:r>
        <w:rPr>
          <w:spacing w:val="-6"/>
          <w:sz w:val="20"/>
        </w:rPr>
        <w:t> </w:t>
      </w:r>
      <w:r>
        <w:rPr>
          <w:sz w:val="20"/>
        </w:rPr>
        <w:t>KRN</w:t>
      </w:r>
      <w:r>
        <w:rPr>
          <w:spacing w:val="-6"/>
          <w:sz w:val="20"/>
        </w:rPr>
        <w:t> </w:t>
      </w:r>
      <w:r>
        <w:rPr>
          <w:sz w:val="20"/>
        </w:rPr>
        <w:t>for</w:t>
      </w:r>
      <w:r>
        <w:rPr>
          <w:spacing w:val="-6"/>
          <w:sz w:val="20"/>
        </w:rPr>
        <w:t> </w:t>
      </w:r>
      <w:r>
        <w:rPr>
          <w:sz w:val="20"/>
        </w:rPr>
        <w:t>the</w:t>
      </w:r>
      <w:r>
        <w:rPr>
          <w:spacing w:val="-7"/>
          <w:sz w:val="20"/>
        </w:rPr>
        <w:t> </w:t>
      </w:r>
      <w:r>
        <w:rPr>
          <w:sz w:val="20"/>
        </w:rPr>
        <w:t>Nitrogen</w:t>
      </w:r>
      <w:r>
        <w:rPr>
          <w:spacing w:val="-6"/>
          <w:sz w:val="20"/>
        </w:rPr>
        <w:t> </w:t>
      </w:r>
      <w:r>
        <w:rPr>
          <w:sz w:val="20"/>
        </w:rPr>
        <w:t>Project</w:t>
      </w:r>
      <w:r>
        <w:rPr>
          <w:spacing w:val="-7"/>
          <w:sz w:val="20"/>
        </w:rPr>
        <w:t> </w:t>
      </w:r>
      <w:r>
        <w:rPr>
          <w:sz w:val="20"/>
        </w:rPr>
        <w:t>was</w:t>
      </w:r>
      <w:r>
        <w:rPr>
          <w:spacing w:val="-6"/>
          <w:sz w:val="20"/>
        </w:rPr>
        <w:t> </w:t>
      </w:r>
      <w:r>
        <w:rPr>
          <w:sz w:val="20"/>
        </w:rPr>
        <w:t>not</w:t>
      </w:r>
      <w:r>
        <w:rPr>
          <w:spacing w:val="-7"/>
          <w:sz w:val="20"/>
        </w:rPr>
        <w:t> </w:t>
      </w:r>
      <w:r>
        <w:rPr>
          <w:sz w:val="20"/>
        </w:rPr>
        <w:t>important</w:t>
      </w:r>
      <w:r>
        <w:rPr>
          <w:spacing w:val="-7"/>
          <w:sz w:val="20"/>
        </w:rPr>
        <w:t> </w:t>
      </w:r>
      <w:r>
        <w:rPr>
          <w:sz w:val="20"/>
        </w:rPr>
        <w:t>or</w:t>
      </w:r>
      <w:r>
        <w:rPr>
          <w:spacing w:val="-6"/>
          <w:sz w:val="20"/>
        </w:rPr>
        <w:t> </w:t>
      </w:r>
      <w:r>
        <w:rPr>
          <w:sz w:val="20"/>
        </w:rPr>
        <w:t>necessary at the early stages of project</w:t>
      </w:r>
      <w:r>
        <w:rPr>
          <w:spacing w:val="-6"/>
          <w:sz w:val="20"/>
        </w:rPr>
        <w:t> </w:t>
      </w:r>
      <w:r>
        <w:rPr>
          <w:sz w:val="20"/>
        </w:rPr>
        <w:t>development.</w:t>
      </w:r>
    </w:p>
    <w:p>
      <w:pPr>
        <w:spacing w:after="0" w:line="350" w:lineRule="auto"/>
        <w:jc w:val="both"/>
        <w:rPr>
          <w:rFonts w:ascii="Symbol" w:hAnsi="Symbol"/>
          <w:sz w:val="20"/>
        </w:rPr>
        <w:sectPr>
          <w:pgSz w:w="12240" w:h="15840"/>
          <w:pgMar w:header="0" w:footer="1259" w:top="1220" w:bottom="1440" w:left="1320" w:right="280"/>
        </w:sectPr>
      </w:pPr>
    </w:p>
    <w:p>
      <w:pPr>
        <w:pStyle w:val="Heading1"/>
        <w:numPr>
          <w:ilvl w:val="0"/>
          <w:numId w:val="9"/>
        </w:numPr>
        <w:tabs>
          <w:tab w:pos="839" w:val="left" w:leader="none"/>
          <w:tab w:pos="841" w:val="left" w:leader="none"/>
        </w:tabs>
        <w:spacing w:line="240" w:lineRule="auto" w:before="75" w:after="0"/>
        <w:ind w:left="840" w:right="0" w:hanging="721"/>
        <w:jc w:val="left"/>
      </w:pPr>
      <w:r>
        <w:rPr>
          <w:u w:val="thick"/>
        </w:rPr>
        <w:t>Independent Feasibility</w:t>
      </w:r>
      <w:r>
        <w:rPr>
          <w:spacing w:val="-4"/>
          <w:u w:val="thick"/>
        </w:rPr>
        <w:t> </w:t>
      </w:r>
      <w:r>
        <w:rPr>
          <w:u w:val="thick"/>
        </w:rPr>
        <w:t>Study</w:t>
      </w:r>
    </w:p>
    <w:p>
      <w:pPr>
        <w:pStyle w:val="BodyText"/>
        <w:spacing w:before="8"/>
        <w:rPr>
          <w:b/>
          <w:sz w:val="22"/>
        </w:rPr>
      </w:pPr>
    </w:p>
    <w:p>
      <w:pPr>
        <w:pStyle w:val="ListParagraph"/>
        <w:numPr>
          <w:ilvl w:val="0"/>
          <w:numId w:val="1"/>
        </w:numPr>
        <w:tabs>
          <w:tab w:pos="841" w:val="left" w:leader="none"/>
        </w:tabs>
        <w:spacing w:line="360" w:lineRule="auto" w:before="94" w:after="0"/>
        <w:ind w:left="839" w:right="1157" w:hanging="720"/>
        <w:jc w:val="both"/>
        <w:rPr>
          <w:sz w:val="20"/>
        </w:rPr>
      </w:pPr>
      <w:r>
        <w:rPr>
          <w:sz w:val="20"/>
        </w:rPr>
        <w:t>In August 2019, I requested a proposal (the “</w:t>
      </w:r>
      <w:r>
        <w:rPr>
          <w:b/>
          <w:sz w:val="20"/>
        </w:rPr>
        <w:t>Wood Proposal</w:t>
      </w:r>
      <w:r>
        <w:rPr>
          <w:sz w:val="20"/>
        </w:rPr>
        <w:t>”) from Wood, an independent engineering firm with vast experience in designing and constructing nitrogen chemical plants in Canada. The Wood Proposal would contemplate completion of a bankable feasibility study in a period of approximately six months, at a cost of approximately $2.5 million. Wood promised me the Wood Proposal during the week of September 9, 2019. The KRN Board was aware of the Wood Proposal, and the estimated cost and time</w:t>
      </w:r>
      <w:r>
        <w:rPr>
          <w:spacing w:val="-10"/>
          <w:sz w:val="20"/>
        </w:rPr>
        <w:t> </w:t>
      </w:r>
      <w:r>
        <w:rPr>
          <w:sz w:val="20"/>
        </w:rPr>
        <w:t>frames.</w:t>
      </w:r>
    </w:p>
    <w:p>
      <w:pPr>
        <w:pStyle w:val="BodyText"/>
        <w:spacing w:before="10"/>
      </w:pPr>
    </w:p>
    <w:p>
      <w:pPr>
        <w:pStyle w:val="ListParagraph"/>
        <w:numPr>
          <w:ilvl w:val="0"/>
          <w:numId w:val="1"/>
        </w:numPr>
        <w:tabs>
          <w:tab w:pos="840" w:val="left" w:leader="none"/>
        </w:tabs>
        <w:spacing w:line="360" w:lineRule="auto" w:before="0" w:after="0"/>
        <w:ind w:left="839" w:right="1157" w:hanging="720"/>
        <w:jc w:val="both"/>
        <w:rPr>
          <w:sz w:val="20"/>
        </w:rPr>
      </w:pPr>
      <w:r>
        <w:rPr>
          <w:sz w:val="20"/>
        </w:rPr>
        <w:t>In August 2019, after Anjaria was appointed to the KRN Board, Varma suggested at a KRN Board meeting that GSFC could prepare a feasibility study on the Nitrogen Project. I objected. Anjaria thought it was entirely appropriate and that there would be no issue in GSFC undertaking an in- house feasibility study on the Nitrogen Project, as that was normal practice in</w:t>
      </w:r>
      <w:r>
        <w:rPr>
          <w:spacing w:val="-21"/>
          <w:sz w:val="20"/>
        </w:rPr>
        <w:t> </w:t>
      </w:r>
      <w:r>
        <w:rPr>
          <w:sz w:val="20"/>
        </w:rPr>
        <w:t>India.</w:t>
      </w:r>
    </w:p>
    <w:p>
      <w:pPr>
        <w:pStyle w:val="BodyText"/>
        <w:spacing w:before="10"/>
      </w:pPr>
    </w:p>
    <w:p>
      <w:pPr>
        <w:pStyle w:val="Heading1"/>
        <w:numPr>
          <w:ilvl w:val="0"/>
          <w:numId w:val="9"/>
        </w:numPr>
        <w:tabs>
          <w:tab w:pos="839" w:val="left" w:leader="none"/>
          <w:tab w:pos="841" w:val="left" w:leader="none"/>
        </w:tabs>
        <w:spacing w:line="240" w:lineRule="auto" w:before="0" w:after="0"/>
        <w:ind w:left="840" w:right="0" w:hanging="721"/>
        <w:jc w:val="left"/>
      </w:pPr>
      <w:r>
        <w:rPr>
          <w:u w:val="thick"/>
        </w:rPr>
        <w:t>Doing Business in Canada According to Indian</w:t>
      </w:r>
      <w:r>
        <w:rPr>
          <w:spacing w:val="-9"/>
          <w:u w:val="thick"/>
        </w:rPr>
        <w:t> </w:t>
      </w:r>
      <w:r>
        <w:rPr>
          <w:u w:val="thick"/>
        </w:rPr>
        <w:t>Practices</w:t>
      </w:r>
    </w:p>
    <w:p>
      <w:pPr>
        <w:pStyle w:val="BodyText"/>
        <w:spacing w:before="9"/>
        <w:rPr>
          <w:b/>
          <w:sz w:val="22"/>
        </w:rPr>
      </w:pPr>
    </w:p>
    <w:p>
      <w:pPr>
        <w:pStyle w:val="ListParagraph"/>
        <w:numPr>
          <w:ilvl w:val="0"/>
          <w:numId w:val="1"/>
        </w:numPr>
        <w:tabs>
          <w:tab w:pos="841" w:val="left" w:leader="none"/>
        </w:tabs>
        <w:spacing w:line="360" w:lineRule="auto" w:before="94" w:after="0"/>
        <w:ind w:left="840" w:right="1157" w:hanging="721"/>
        <w:jc w:val="both"/>
        <w:rPr>
          <w:sz w:val="20"/>
        </w:rPr>
      </w:pPr>
      <w:r>
        <w:rPr>
          <w:sz w:val="20"/>
        </w:rPr>
        <w:t>I</w:t>
      </w:r>
      <w:r>
        <w:rPr>
          <w:spacing w:val="-8"/>
          <w:sz w:val="20"/>
        </w:rPr>
        <w:t> </w:t>
      </w:r>
      <w:r>
        <w:rPr>
          <w:sz w:val="20"/>
        </w:rPr>
        <w:t>verily</w:t>
      </w:r>
      <w:r>
        <w:rPr>
          <w:spacing w:val="-6"/>
          <w:sz w:val="20"/>
        </w:rPr>
        <w:t> </w:t>
      </w:r>
      <w:r>
        <w:rPr>
          <w:sz w:val="20"/>
        </w:rPr>
        <w:t>believe</w:t>
      </w:r>
      <w:r>
        <w:rPr>
          <w:spacing w:val="-6"/>
          <w:sz w:val="20"/>
        </w:rPr>
        <w:t> </w:t>
      </w:r>
      <w:r>
        <w:rPr>
          <w:sz w:val="20"/>
        </w:rPr>
        <w:t>that,</w:t>
      </w:r>
      <w:r>
        <w:rPr>
          <w:spacing w:val="-7"/>
          <w:sz w:val="20"/>
        </w:rPr>
        <w:t> </w:t>
      </w:r>
      <w:r>
        <w:rPr>
          <w:sz w:val="20"/>
        </w:rPr>
        <w:t>based</w:t>
      </w:r>
      <w:r>
        <w:rPr>
          <w:spacing w:val="-6"/>
          <w:sz w:val="20"/>
        </w:rPr>
        <w:t> </w:t>
      </w:r>
      <w:r>
        <w:rPr>
          <w:sz w:val="20"/>
        </w:rPr>
        <w:t>on</w:t>
      </w:r>
      <w:r>
        <w:rPr>
          <w:spacing w:val="-6"/>
          <w:sz w:val="20"/>
        </w:rPr>
        <w:t> </w:t>
      </w:r>
      <w:r>
        <w:rPr>
          <w:sz w:val="20"/>
        </w:rPr>
        <w:t>the</w:t>
      </w:r>
      <w:r>
        <w:rPr>
          <w:spacing w:val="-7"/>
          <w:sz w:val="20"/>
        </w:rPr>
        <w:t> </w:t>
      </w:r>
      <w:r>
        <w:rPr>
          <w:sz w:val="20"/>
        </w:rPr>
        <w:t>various</w:t>
      </w:r>
      <w:r>
        <w:rPr>
          <w:spacing w:val="-6"/>
          <w:sz w:val="20"/>
        </w:rPr>
        <w:t> </w:t>
      </w:r>
      <w:r>
        <w:rPr>
          <w:sz w:val="20"/>
        </w:rPr>
        <w:t>comments</w:t>
      </w:r>
      <w:r>
        <w:rPr>
          <w:spacing w:val="-7"/>
          <w:sz w:val="20"/>
        </w:rPr>
        <w:t> </w:t>
      </w:r>
      <w:r>
        <w:rPr>
          <w:sz w:val="20"/>
        </w:rPr>
        <w:t>of</w:t>
      </w:r>
      <w:r>
        <w:rPr>
          <w:spacing w:val="-7"/>
          <w:sz w:val="20"/>
        </w:rPr>
        <w:t> </w:t>
      </w:r>
      <w:r>
        <w:rPr>
          <w:sz w:val="20"/>
        </w:rPr>
        <w:t>Varma</w:t>
      </w:r>
      <w:r>
        <w:rPr>
          <w:spacing w:val="-6"/>
          <w:sz w:val="20"/>
        </w:rPr>
        <w:t> </w:t>
      </w:r>
      <w:r>
        <w:rPr>
          <w:sz w:val="20"/>
        </w:rPr>
        <w:t>and</w:t>
      </w:r>
      <w:r>
        <w:rPr>
          <w:spacing w:val="-8"/>
          <w:sz w:val="20"/>
        </w:rPr>
        <w:t> </w:t>
      </w:r>
      <w:r>
        <w:rPr>
          <w:sz w:val="20"/>
        </w:rPr>
        <w:t>Anjaria</w:t>
      </w:r>
      <w:r>
        <w:rPr>
          <w:spacing w:val="-6"/>
          <w:sz w:val="20"/>
        </w:rPr>
        <w:t> </w:t>
      </w:r>
      <w:r>
        <w:rPr>
          <w:sz w:val="20"/>
        </w:rPr>
        <w:t>regarding</w:t>
      </w:r>
      <w:r>
        <w:rPr>
          <w:spacing w:val="-6"/>
          <w:sz w:val="20"/>
        </w:rPr>
        <w:t> </w:t>
      </w:r>
      <w:r>
        <w:rPr>
          <w:sz w:val="20"/>
        </w:rPr>
        <w:t>how</w:t>
      </w:r>
      <w:r>
        <w:rPr>
          <w:spacing w:val="-6"/>
          <w:sz w:val="20"/>
        </w:rPr>
        <w:t> </w:t>
      </w:r>
      <w:r>
        <w:rPr>
          <w:sz w:val="20"/>
        </w:rPr>
        <w:t>business is done in India, they are trying to do business in Canada the way they do business in India, and are trying to develop the Nitrogen Project the way they would do it in</w:t>
      </w:r>
      <w:r>
        <w:rPr>
          <w:spacing w:val="-21"/>
          <w:sz w:val="20"/>
        </w:rPr>
        <w:t> </w:t>
      </w:r>
      <w:r>
        <w:rPr>
          <w:sz w:val="20"/>
        </w:rPr>
        <w:t>India.</w:t>
      </w:r>
    </w:p>
    <w:p>
      <w:pPr>
        <w:pStyle w:val="BodyText"/>
        <w:spacing w:before="9"/>
      </w:pPr>
    </w:p>
    <w:p>
      <w:pPr>
        <w:pStyle w:val="ListParagraph"/>
        <w:numPr>
          <w:ilvl w:val="0"/>
          <w:numId w:val="1"/>
        </w:numPr>
        <w:tabs>
          <w:tab w:pos="839" w:val="left" w:leader="none"/>
          <w:tab w:pos="841" w:val="left" w:leader="none"/>
        </w:tabs>
        <w:spacing w:line="240" w:lineRule="auto" w:before="0" w:after="0"/>
        <w:ind w:left="840" w:right="0" w:hanging="722"/>
        <w:jc w:val="left"/>
        <w:rPr>
          <w:sz w:val="20"/>
        </w:rPr>
      </w:pPr>
      <w:r>
        <w:rPr>
          <w:sz w:val="20"/>
        </w:rPr>
        <w:t>I verily believe that none of Varma, Nanavaty, nor Anjaria</w:t>
      </w:r>
      <w:r>
        <w:rPr>
          <w:spacing w:val="-13"/>
          <w:sz w:val="20"/>
        </w:rPr>
        <w:t> </w:t>
      </w:r>
      <w:r>
        <w:rPr>
          <w:sz w:val="20"/>
        </w:rPr>
        <w:t>have:</w:t>
      </w:r>
    </w:p>
    <w:p>
      <w:pPr>
        <w:pStyle w:val="BodyText"/>
        <w:rPr>
          <w:sz w:val="31"/>
        </w:rPr>
      </w:pPr>
    </w:p>
    <w:p>
      <w:pPr>
        <w:pStyle w:val="ListParagraph"/>
        <w:numPr>
          <w:ilvl w:val="1"/>
          <w:numId w:val="1"/>
        </w:numPr>
        <w:tabs>
          <w:tab w:pos="1559" w:val="left" w:leader="none"/>
          <w:tab w:pos="1561" w:val="left" w:leader="none"/>
        </w:tabs>
        <w:spacing w:line="350" w:lineRule="auto" w:before="0" w:after="0"/>
        <w:ind w:left="1560" w:right="1157" w:hanging="721"/>
        <w:jc w:val="left"/>
        <w:rPr>
          <w:rFonts w:ascii="Symbol" w:hAnsi="Symbol"/>
          <w:sz w:val="20"/>
        </w:rPr>
      </w:pPr>
      <w:r>
        <w:rPr>
          <w:sz w:val="20"/>
        </w:rPr>
        <w:t>any experience with public companies in Canada, or the Canadian capital markets, with the exception of</w:t>
      </w:r>
      <w:r>
        <w:rPr>
          <w:spacing w:val="-5"/>
          <w:sz w:val="20"/>
        </w:rPr>
        <w:t> </w:t>
      </w:r>
      <w:r>
        <w:rPr>
          <w:sz w:val="20"/>
        </w:rPr>
        <w:t>KRN;</w:t>
      </w:r>
    </w:p>
    <w:p>
      <w:pPr>
        <w:pStyle w:val="BodyText"/>
        <w:spacing w:before="9"/>
        <w:rPr>
          <w:sz w:val="21"/>
        </w:rPr>
      </w:pPr>
    </w:p>
    <w:p>
      <w:pPr>
        <w:pStyle w:val="ListParagraph"/>
        <w:numPr>
          <w:ilvl w:val="1"/>
          <w:numId w:val="1"/>
        </w:numPr>
        <w:tabs>
          <w:tab w:pos="1559" w:val="left" w:leader="none"/>
          <w:tab w:pos="1561" w:val="left" w:leader="none"/>
        </w:tabs>
        <w:spacing w:line="350" w:lineRule="auto" w:before="0" w:after="0"/>
        <w:ind w:left="1560" w:right="1156" w:hanging="721"/>
        <w:jc w:val="left"/>
        <w:rPr>
          <w:rFonts w:ascii="Symbol" w:hAnsi="Symbol"/>
          <w:sz w:val="20"/>
        </w:rPr>
      </w:pPr>
      <w:r>
        <w:rPr>
          <w:sz w:val="20"/>
        </w:rPr>
        <w:t>any experience in undertaking major capital project development in Canada, whether for mining projects, or chemical manufacturing</w:t>
      </w:r>
      <w:r>
        <w:rPr>
          <w:spacing w:val="-6"/>
          <w:sz w:val="20"/>
        </w:rPr>
        <w:t> </w:t>
      </w:r>
      <w:r>
        <w:rPr>
          <w:sz w:val="20"/>
        </w:rPr>
        <w:t>plants;</w:t>
      </w:r>
    </w:p>
    <w:p>
      <w:pPr>
        <w:pStyle w:val="BodyText"/>
        <w:spacing w:before="8"/>
        <w:rPr>
          <w:sz w:val="21"/>
        </w:rPr>
      </w:pPr>
    </w:p>
    <w:p>
      <w:pPr>
        <w:pStyle w:val="ListParagraph"/>
        <w:numPr>
          <w:ilvl w:val="1"/>
          <w:numId w:val="1"/>
        </w:numPr>
        <w:tabs>
          <w:tab w:pos="1560" w:val="left" w:leader="none"/>
          <w:tab w:pos="1561" w:val="left" w:leader="none"/>
        </w:tabs>
        <w:spacing w:line="240" w:lineRule="auto" w:before="0" w:after="0"/>
        <w:ind w:left="1560" w:right="0" w:hanging="721"/>
        <w:jc w:val="left"/>
        <w:rPr>
          <w:rFonts w:ascii="Symbol" w:hAnsi="Symbol"/>
          <w:sz w:val="20"/>
        </w:rPr>
      </w:pPr>
      <w:r>
        <w:rPr>
          <w:sz w:val="20"/>
        </w:rPr>
        <w:t>any experience in environmental or construction permitting in</w:t>
      </w:r>
      <w:r>
        <w:rPr>
          <w:spacing w:val="-12"/>
          <w:sz w:val="20"/>
        </w:rPr>
        <w:t> </w:t>
      </w:r>
      <w:r>
        <w:rPr>
          <w:sz w:val="20"/>
        </w:rPr>
        <w:t>Canada;</w:t>
      </w:r>
    </w:p>
    <w:p>
      <w:pPr>
        <w:pStyle w:val="BodyText"/>
        <w:spacing w:before="9"/>
        <w:rPr>
          <w:sz w:val="30"/>
        </w:rPr>
      </w:pPr>
    </w:p>
    <w:p>
      <w:pPr>
        <w:pStyle w:val="ListParagraph"/>
        <w:numPr>
          <w:ilvl w:val="1"/>
          <w:numId w:val="1"/>
        </w:numPr>
        <w:tabs>
          <w:tab w:pos="1560" w:val="left" w:leader="none"/>
          <w:tab w:pos="1561" w:val="left" w:leader="none"/>
        </w:tabs>
        <w:spacing w:line="350" w:lineRule="auto" w:before="0" w:after="0"/>
        <w:ind w:left="1560" w:right="1158" w:hanging="720"/>
        <w:jc w:val="left"/>
        <w:rPr>
          <w:rFonts w:ascii="Symbol" w:hAnsi="Symbol"/>
          <w:sz w:val="20"/>
        </w:rPr>
      </w:pPr>
      <w:r>
        <w:rPr>
          <w:sz w:val="20"/>
        </w:rPr>
        <w:t>any</w:t>
      </w:r>
      <w:r>
        <w:rPr>
          <w:spacing w:val="-6"/>
          <w:sz w:val="20"/>
        </w:rPr>
        <w:t> </w:t>
      </w:r>
      <w:r>
        <w:rPr>
          <w:sz w:val="20"/>
        </w:rPr>
        <w:t>background,</w:t>
      </w:r>
      <w:r>
        <w:rPr>
          <w:spacing w:val="-5"/>
          <w:sz w:val="20"/>
        </w:rPr>
        <w:t> </w:t>
      </w:r>
      <w:r>
        <w:rPr>
          <w:sz w:val="20"/>
        </w:rPr>
        <w:t>experience</w:t>
      </w:r>
      <w:r>
        <w:rPr>
          <w:spacing w:val="-5"/>
          <w:sz w:val="20"/>
        </w:rPr>
        <w:t> </w:t>
      </w:r>
      <w:r>
        <w:rPr>
          <w:sz w:val="20"/>
        </w:rPr>
        <w:t>or</w:t>
      </w:r>
      <w:r>
        <w:rPr>
          <w:spacing w:val="-4"/>
          <w:sz w:val="20"/>
        </w:rPr>
        <w:t> </w:t>
      </w:r>
      <w:r>
        <w:rPr>
          <w:sz w:val="20"/>
        </w:rPr>
        <w:t>first-hand</w:t>
      </w:r>
      <w:r>
        <w:rPr>
          <w:spacing w:val="-5"/>
          <w:sz w:val="20"/>
        </w:rPr>
        <w:t> </w:t>
      </w:r>
      <w:r>
        <w:rPr>
          <w:sz w:val="20"/>
        </w:rPr>
        <w:t>knowledge</w:t>
      </w:r>
      <w:r>
        <w:rPr>
          <w:spacing w:val="-6"/>
          <w:sz w:val="20"/>
        </w:rPr>
        <w:t> </w:t>
      </w:r>
      <w:r>
        <w:rPr>
          <w:sz w:val="20"/>
        </w:rPr>
        <w:t>of</w:t>
      </w:r>
      <w:r>
        <w:rPr>
          <w:spacing w:val="-5"/>
          <w:sz w:val="20"/>
        </w:rPr>
        <w:t> </w:t>
      </w:r>
      <w:r>
        <w:rPr>
          <w:sz w:val="20"/>
        </w:rPr>
        <w:t>the</w:t>
      </w:r>
      <w:r>
        <w:rPr>
          <w:spacing w:val="-5"/>
          <w:sz w:val="20"/>
        </w:rPr>
        <w:t> </w:t>
      </w:r>
      <w:r>
        <w:rPr>
          <w:sz w:val="20"/>
        </w:rPr>
        <w:t>agriculture</w:t>
      </w:r>
      <w:r>
        <w:rPr>
          <w:spacing w:val="-4"/>
          <w:sz w:val="20"/>
        </w:rPr>
        <w:t> </w:t>
      </w:r>
      <w:r>
        <w:rPr>
          <w:sz w:val="20"/>
        </w:rPr>
        <w:t>or</w:t>
      </w:r>
      <w:r>
        <w:rPr>
          <w:spacing w:val="-5"/>
          <w:sz w:val="20"/>
        </w:rPr>
        <w:t> </w:t>
      </w:r>
      <w:r>
        <w:rPr>
          <w:sz w:val="20"/>
        </w:rPr>
        <w:t>fertilizer</w:t>
      </w:r>
      <w:r>
        <w:rPr>
          <w:spacing w:val="-4"/>
          <w:sz w:val="20"/>
        </w:rPr>
        <w:t> </w:t>
      </w:r>
      <w:r>
        <w:rPr>
          <w:sz w:val="20"/>
        </w:rPr>
        <w:t>industry in Canada;</w:t>
      </w:r>
      <w:r>
        <w:rPr>
          <w:spacing w:val="-3"/>
          <w:sz w:val="20"/>
        </w:rPr>
        <w:t> </w:t>
      </w:r>
      <w:r>
        <w:rPr>
          <w:sz w:val="20"/>
        </w:rPr>
        <w:t>or</w:t>
      </w:r>
    </w:p>
    <w:p>
      <w:pPr>
        <w:pStyle w:val="BodyText"/>
        <w:spacing w:before="8"/>
        <w:rPr>
          <w:sz w:val="21"/>
        </w:rPr>
      </w:pPr>
    </w:p>
    <w:p>
      <w:pPr>
        <w:pStyle w:val="ListParagraph"/>
        <w:numPr>
          <w:ilvl w:val="1"/>
          <w:numId w:val="1"/>
        </w:numPr>
        <w:tabs>
          <w:tab w:pos="1559" w:val="left" w:leader="none"/>
          <w:tab w:pos="1561" w:val="left" w:leader="none"/>
        </w:tabs>
        <w:spacing w:line="350" w:lineRule="auto" w:before="0" w:after="0"/>
        <w:ind w:left="1560" w:right="1156" w:hanging="721"/>
        <w:jc w:val="left"/>
        <w:rPr>
          <w:rFonts w:ascii="Symbol" w:hAnsi="Symbol"/>
          <w:sz w:val="20"/>
        </w:rPr>
      </w:pPr>
      <w:r>
        <w:rPr>
          <w:sz w:val="20"/>
        </w:rPr>
        <w:t>any experience in how agricultural products are actually marketed, sold, and transported in</w:t>
      </w:r>
      <w:r>
        <w:rPr>
          <w:spacing w:val="-2"/>
          <w:sz w:val="20"/>
        </w:rPr>
        <w:t> </w:t>
      </w:r>
      <w:r>
        <w:rPr>
          <w:sz w:val="20"/>
        </w:rPr>
        <w:t>Canada.</w:t>
      </w:r>
    </w:p>
    <w:p>
      <w:pPr>
        <w:pStyle w:val="BodyText"/>
        <w:spacing w:before="7"/>
        <w:rPr>
          <w:sz w:val="21"/>
        </w:rPr>
      </w:pPr>
    </w:p>
    <w:p>
      <w:pPr>
        <w:pStyle w:val="Heading1"/>
        <w:numPr>
          <w:ilvl w:val="0"/>
          <w:numId w:val="9"/>
        </w:numPr>
        <w:tabs>
          <w:tab w:pos="839" w:val="left" w:leader="none"/>
          <w:tab w:pos="840" w:val="left" w:leader="none"/>
        </w:tabs>
        <w:spacing w:line="240" w:lineRule="auto" w:before="0" w:after="0"/>
        <w:ind w:left="839" w:right="0" w:hanging="720"/>
        <w:jc w:val="left"/>
      </w:pPr>
      <w:r>
        <w:rPr>
          <w:u w:val="thick"/>
        </w:rPr>
        <w:t>Varma’s Frustration with me as</w:t>
      </w:r>
      <w:r>
        <w:rPr>
          <w:spacing w:val="-7"/>
          <w:u w:val="thick"/>
        </w:rPr>
        <w:t> </w:t>
      </w:r>
      <w:r>
        <w:rPr>
          <w:u w:val="thick"/>
        </w:rPr>
        <w:t>CEO</w:t>
      </w:r>
    </w:p>
    <w:p>
      <w:pPr>
        <w:pStyle w:val="BodyText"/>
        <w:spacing w:before="9"/>
        <w:rPr>
          <w:b/>
          <w:sz w:val="22"/>
        </w:rPr>
      </w:pPr>
    </w:p>
    <w:p>
      <w:pPr>
        <w:pStyle w:val="ListParagraph"/>
        <w:numPr>
          <w:ilvl w:val="0"/>
          <w:numId w:val="1"/>
        </w:numPr>
        <w:tabs>
          <w:tab w:pos="839" w:val="left" w:leader="none"/>
          <w:tab w:pos="841" w:val="left" w:leader="none"/>
        </w:tabs>
        <w:spacing w:line="240" w:lineRule="auto" w:before="94" w:after="0"/>
        <w:ind w:left="840" w:right="0" w:hanging="721"/>
        <w:jc w:val="left"/>
        <w:rPr>
          <w:sz w:val="20"/>
        </w:rPr>
      </w:pPr>
      <w:r>
        <w:rPr>
          <w:sz w:val="20"/>
        </w:rPr>
        <w:t>I verily believe that Varma was frustrated with me</w:t>
      </w:r>
      <w:r>
        <w:rPr>
          <w:spacing w:val="-11"/>
          <w:sz w:val="20"/>
        </w:rPr>
        <w:t> </w:t>
      </w:r>
      <w:r>
        <w:rPr>
          <w:sz w:val="20"/>
        </w:rPr>
        <w:t>for:</w:t>
      </w:r>
    </w:p>
    <w:p>
      <w:pPr>
        <w:pStyle w:val="BodyText"/>
        <w:spacing w:before="10"/>
        <w:rPr>
          <w:sz w:val="30"/>
        </w:rPr>
      </w:pPr>
    </w:p>
    <w:p>
      <w:pPr>
        <w:pStyle w:val="ListParagraph"/>
        <w:numPr>
          <w:ilvl w:val="1"/>
          <w:numId w:val="1"/>
        </w:numPr>
        <w:tabs>
          <w:tab w:pos="1559" w:val="left" w:leader="none"/>
          <w:tab w:pos="1561" w:val="left" w:leader="none"/>
        </w:tabs>
        <w:spacing w:line="240" w:lineRule="auto" w:before="0" w:after="0"/>
        <w:ind w:left="1560" w:right="0" w:hanging="721"/>
        <w:jc w:val="left"/>
        <w:rPr>
          <w:rFonts w:ascii="Symbol" w:hAnsi="Symbol"/>
          <w:sz w:val="20"/>
        </w:rPr>
      </w:pPr>
      <w:r>
        <w:rPr>
          <w:sz w:val="20"/>
        </w:rPr>
        <w:t>wanting to conduct KRN’s business in accordance with Canadian</w:t>
      </w:r>
      <w:r>
        <w:rPr>
          <w:spacing w:val="-13"/>
          <w:sz w:val="20"/>
        </w:rPr>
        <w:t> </w:t>
      </w:r>
      <w:r>
        <w:rPr>
          <w:sz w:val="20"/>
        </w:rPr>
        <w:t>practices;</w:t>
      </w:r>
    </w:p>
    <w:p>
      <w:pPr>
        <w:spacing w:after="0" w:line="240" w:lineRule="auto"/>
        <w:jc w:val="left"/>
        <w:rPr>
          <w:rFonts w:ascii="Symbol" w:hAnsi="Symbol"/>
          <w:sz w:val="20"/>
        </w:rPr>
        <w:sectPr>
          <w:pgSz w:w="12240" w:h="15840"/>
          <w:pgMar w:header="0" w:footer="1259" w:top="1220" w:bottom="1440" w:left="1320" w:right="280"/>
        </w:sectPr>
      </w:pPr>
    </w:p>
    <w:p>
      <w:pPr>
        <w:pStyle w:val="ListParagraph"/>
        <w:numPr>
          <w:ilvl w:val="1"/>
          <w:numId w:val="1"/>
        </w:numPr>
        <w:tabs>
          <w:tab w:pos="1559" w:val="left" w:leader="none"/>
          <w:tab w:pos="1561" w:val="left" w:leader="none"/>
        </w:tabs>
        <w:spacing w:line="240" w:lineRule="auto" w:before="76" w:after="0"/>
        <w:ind w:left="1560" w:right="0" w:hanging="721"/>
        <w:jc w:val="left"/>
        <w:rPr>
          <w:rFonts w:ascii="Symbol" w:hAnsi="Symbol"/>
          <w:sz w:val="20"/>
        </w:rPr>
      </w:pPr>
      <w:r>
        <w:rPr/>
        <w:pict>
          <v:group style="position:absolute;margin-left:471.450012pt;margin-top:734.991028pt;width:111.6pt;height:45.55pt;mso-position-horizontal-relative:page;mso-position-vertical-relative:page;z-index:251685888" coordorigin="9429,14700" coordsize="2232,911">
            <v:shape style="position:absolute;left:10798;top:14699;width:863;height:876" type="#_x0000_t75" stroked="false">
              <v:imagedata r:id="rId9" o:title=""/>
            </v:shape>
            <v:shape style="position:absolute;left:9429;top:14735;width:1381;height:876" type="#_x0000_t75" stroked="false">
              <v:imagedata r:id="rId10" o:title=""/>
            </v:shape>
            <w10:wrap type="none"/>
          </v:group>
        </w:pict>
      </w:r>
      <w:r>
        <w:rPr>
          <w:sz w:val="20"/>
        </w:rPr>
        <w:t>wanting to conduct KRN’s business the way Canadian public companies</w:t>
      </w:r>
      <w:r>
        <w:rPr>
          <w:spacing w:val="-10"/>
          <w:sz w:val="20"/>
        </w:rPr>
        <w:t> </w:t>
      </w:r>
      <w:r>
        <w:rPr>
          <w:sz w:val="20"/>
        </w:rPr>
        <w:t>do;</w:t>
      </w:r>
    </w:p>
    <w:p>
      <w:pPr>
        <w:pStyle w:val="BodyText"/>
        <w:spacing w:before="9"/>
        <w:rPr>
          <w:sz w:val="30"/>
        </w:rPr>
      </w:pPr>
    </w:p>
    <w:p>
      <w:pPr>
        <w:pStyle w:val="ListParagraph"/>
        <w:numPr>
          <w:ilvl w:val="1"/>
          <w:numId w:val="1"/>
        </w:numPr>
        <w:tabs>
          <w:tab w:pos="1559" w:val="left" w:leader="none"/>
          <w:tab w:pos="1561" w:val="left" w:leader="none"/>
        </w:tabs>
        <w:spacing w:line="350" w:lineRule="auto" w:before="0" w:after="0"/>
        <w:ind w:left="1560" w:right="1157" w:hanging="721"/>
        <w:jc w:val="left"/>
        <w:rPr>
          <w:rFonts w:ascii="Symbol" w:hAnsi="Symbol"/>
          <w:sz w:val="20"/>
        </w:rPr>
      </w:pPr>
      <w:r>
        <w:rPr>
          <w:sz w:val="20"/>
        </w:rPr>
        <w:t>wanting to develop the Nitrogen Project in accordance with Canadian and international standards;</w:t>
      </w:r>
    </w:p>
    <w:p>
      <w:pPr>
        <w:pStyle w:val="BodyText"/>
        <w:spacing w:before="8"/>
        <w:rPr>
          <w:sz w:val="21"/>
        </w:rPr>
      </w:pPr>
    </w:p>
    <w:p>
      <w:pPr>
        <w:pStyle w:val="ListParagraph"/>
        <w:numPr>
          <w:ilvl w:val="1"/>
          <w:numId w:val="1"/>
        </w:numPr>
        <w:tabs>
          <w:tab w:pos="1559" w:val="left" w:leader="none"/>
          <w:tab w:pos="1561" w:val="left" w:leader="none"/>
        </w:tabs>
        <w:spacing w:line="240" w:lineRule="auto" w:before="0" w:after="0"/>
        <w:ind w:left="1560" w:right="0" w:hanging="721"/>
        <w:jc w:val="left"/>
        <w:rPr>
          <w:rFonts w:ascii="Symbol" w:hAnsi="Symbol"/>
          <w:sz w:val="20"/>
        </w:rPr>
      </w:pPr>
      <w:r>
        <w:rPr>
          <w:sz w:val="20"/>
        </w:rPr>
        <w:t>wanting to locate the Nitrogen Project in Saskatoon, rather than at</w:t>
      </w:r>
      <w:r>
        <w:rPr>
          <w:spacing w:val="-15"/>
          <w:sz w:val="20"/>
        </w:rPr>
        <w:t> </w:t>
      </w:r>
      <w:r>
        <w:rPr>
          <w:sz w:val="20"/>
        </w:rPr>
        <w:t>Wynyard;</w:t>
      </w:r>
    </w:p>
    <w:p>
      <w:pPr>
        <w:pStyle w:val="BodyText"/>
        <w:spacing w:before="9"/>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r>
        <w:rPr>
          <w:sz w:val="20"/>
        </w:rPr>
        <w:t>not participating in the shakedown of the</w:t>
      </w:r>
      <w:r>
        <w:rPr>
          <w:spacing w:val="-8"/>
          <w:sz w:val="20"/>
        </w:rPr>
        <w:t> </w:t>
      </w:r>
      <w:r>
        <w:rPr>
          <w:sz w:val="20"/>
        </w:rPr>
        <w:t>AgCo;</w:t>
      </w:r>
    </w:p>
    <w:p>
      <w:pPr>
        <w:pStyle w:val="BodyText"/>
        <w:spacing w:before="8"/>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r>
        <w:rPr>
          <w:sz w:val="20"/>
        </w:rPr>
        <w:t>requesting the Wood</w:t>
      </w:r>
      <w:r>
        <w:rPr>
          <w:spacing w:val="-4"/>
          <w:sz w:val="20"/>
        </w:rPr>
        <w:t> </w:t>
      </w:r>
      <w:r>
        <w:rPr>
          <w:sz w:val="20"/>
        </w:rPr>
        <w:t>Proposal;</w:t>
      </w:r>
    </w:p>
    <w:p>
      <w:pPr>
        <w:pStyle w:val="BodyText"/>
        <w:spacing w:before="8"/>
        <w:rPr>
          <w:sz w:val="30"/>
        </w:rPr>
      </w:pPr>
    </w:p>
    <w:p>
      <w:pPr>
        <w:pStyle w:val="ListParagraph"/>
        <w:numPr>
          <w:ilvl w:val="1"/>
          <w:numId w:val="1"/>
        </w:numPr>
        <w:tabs>
          <w:tab w:pos="1559" w:val="left" w:leader="none"/>
          <w:tab w:pos="1561" w:val="left" w:leader="none"/>
        </w:tabs>
        <w:spacing w:line="240" w:lineRule="auto" w:before="1" w:after="0"/>
        <w:ind w:left="1560" w:right="0" w:hanging="721"/>
        <w:jc w:val="left"/>
        <w:rPr>
          <w:rFonts w:ascii="Symbol" w:hAnsi="Symbol"/>
          <w:sz w:val="20"/>
        </w:rPr>
      </w:pPr>
      <w:r>
        <w:rPr>
          <w:sz w:val="20"/>
        </w:rPr>
        <w:t>objecting to his efforts to run KRN as GSFC’s private</w:t>
      </w:r>
      <w:r>
        <w:rPr>
          <w:spacing w:val="-8"/>
          <w:sz w:val="20"/>
        </w:rPr>
        <w:t> </w:t>
      </w:r>
      <w:r>
        <w:rPr>
          <w:sz w:val="20"/>
        </w:rPr>
        <w:t>company;</w:t>
      </w:r>
    </w:p>
    <w:p>
      <w:pPr>
        <w:pStyle w:val="BodyText"/>
        <w:spacing w:before="8"/>
        <w:rPr>
          <w:sz w:val="30"/>
        </w:rPr>
      </w:pPr>
    </w:p>
    <w:p>
      <w:pPr>
        <w:pStyle w:val="ListParagraph"/>
        <w:numPr>
          <w:ilvl w:val="1"/>
          <w:numId w:val="1"/>
        </w:numPr>
        <w:tabs>
          <w:tab w:pos="1559" w:val="left" w:leader="none"/>
          <w:tab w:pos="1561" w:val="left" w:leader="none"/>
        </w:tabs>
        <w:spacing w:line="240" w:lineRule="auto" w:before="0" w:after="0"/>
        <w:ind w:left="1560" w:right="0" w:hanging="721"/>
        <w:jc w:val="left"/>
        <w:rPr>
          <w:rFonts w:ascii="Symbol" w:hAnsi="Symbol"/>
          <w:sz w:val="20"/>
        </w:rPr>
      </w:pPr>
      <w:r>
        <w:rPr>
          <w:sz w:val="20"/>
        </w:rPr>
        <w:t>calling him out on reneging on the CEO Offer Letter;</w:t>
      </w:r>
      <w:r>
        <w:rPr>
          <w:spacing w:val="-13"/>
          <w:sz w:val="20"/>
        </w:rPr>
        <w:t> </w:t>
      </w:r>
      <w:r>
        <w:rPr>
          <w:sz w:val="20"/>
        </w:rPr>
        <w:t>and</w:t>
      </w:r>
    </w:p>
    <w:p>
      <w:pPr>
        <w:pStyle w:val="BodyText"/>
        <w:spacing w:before="8"/>
        <w:rPr>
          <w:sz w:val="30"/>
        </w:rPr>
      </w:pPr>
    </w:p>
    <w:p>
      <w:pPr>
        <w:pStyle w:val="ListParagraph"/>
        <w:numPr>
          <w:ilvl w:val="1"/>
          <w:numId w:val="1"/>
        </w:numPr>
        <w:tabs>
          <w:tab w:pos="1560" w:val="left" w:leader="none"/>
          <w:tab w:pos="1561" w:val="left" w:leader="none"/>
        </w:tabs>
        <w:spacing w:line="240" w:lineRule="auto" w:before="0" w:after="0"/>
        <w:ind w:left="1560" w:right="0" w:hanging="721"/>
        <w:jc w:val="left"/>
        <w:rPr>
          <w:rFonts w:ascii="Symbol" w:hAnsi="Symbol"/>
          <w:sz w:val="20"/>
        </w:rPr>
      </w:pPr>
      <w:r>
        <w:rPr>
          <w:sz w:val="20"/>
        </w:rPr>
        <w:t>suggesting that his changes to minutes of a KRN Board meeting were</w:t>
      </w:r>
      <w:r>
        <w:rPr>
          <w:spacing w:val="-15"/>
          <w:sz w:val="20"/>
        </w:rPr>
        <w:t> </w:t>
      </w:r>
      <w:r>
        <w:rPr>
          <w:sz w:val="20"/>
        </w:rPr>
        <w:t>incorrect.</w:t>
      </w:r>
    </w:p>
    <w:p>
      <w:pPr>
        <w:pStyle w:val="BodyText"/>
        <w:spacing w:before="8"/>
        <w:rPr>
          <w:sz w:val="30"/>
        </w:rPr>
      </w:pPr>
    </w:p>
    <w:p>
      <w:pPr>
        <w:pStyle w:val="ListParagraph"/>
        <w:numPr>
          <w:ilvl w:val="0"/>
          <w:numId w:val="1"/>
        </w:numPr>
        <w:tabs>
          <w:tab w:pos="841" w:val="left" w:leader="none"/>
        </w:tabs>
        <w:spacing w:line="360" w:lineRule="auto" w:before="0" w:after="0"/>
        <w:ind w:left="839" w:right="1155" w:hanging="720"/>
        <w:jc w:val="both"/>
        <w:rPr>
          <w:sz w:val="20"/>
        </w:rPr>
      </w:pPr>
      <w:r>
        <w:rPr>
          <w:sz w:val="20"/>
        </w:rPr>
        <w:t>I verily believe that Varma has a pattern of agreeing to a matter on one day, and then a few days, weeks or months later, changing his mind, and then insisting that his current decision is actually what he agreed to previously, including by way of</w:t>
      </w:r>
      <w:r>
        <w:rPr>
          <w:spacing w:val="-10"/>
          <w:sz w:val="20"/>
        </w:rPr>
        <w:t> </w:t>
      </w:r>
      <w:r>
        <w:rPr>
          <w:sz w:val="20"/>
        </w:rPr>
        <w:t>example:</w:t>
      </w:r>
    </w:p>
    <w:p>
      <w:pPr>
        <w:pStyle w:val="BodyText"/>
        <w:rPr>
          <w:sz w:val="21"/>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r>
        <w:rPr>
          <w:sz w:val="20"/>
        </w:rPr>
        <w:t>the CEO Offer Letter;</w:t>
      </w:r>
      <w:r>
        <w:rPr>
          <w:spacing w:val="-4"/>
          <w:sz w:val="20"/>
        </w:rPr>
        <w:t> </w:t>
      </w:r>
      <w:r>
        <w:rPr>
          <w:sz w:val="20"/>
        </w:rPr>
        <w:t>and</w:t>
      </w:r>
    </w:p>
    <w:p>
      <w:pPr>
        <w:pStyle w:val="BodyText"/>
        <w:spacing w:before="8"/>
        <w:rPr>
          <w:sz w:val="30"/>
        </w:rPr>
      </w:pPr>
    </w:p>
    <w:p>
      <w:pPr>
        <w:pStyle w:val="ListParagraph"/>
        <w:numPr>
          <w:ilvl w:val="1"/>
          <w:numId w:val="1"/>
        </w:numPr>
        <w:tabs>
          <w:tab w:pos="1559" w:val="left" w:leader="none"/>
          <w:tab w:pos="1560" w:val="left" w:leader="none"/>
        </w:tabs>
        <w:spacing w:line="350" w:lineRule="auto" w:before="0" w:after="0"/>
        <w:ind w:left="1560" w:right="1157" w:hanging="721"/>
        <w:jc w:val="left"/>
        <w:rPr>
          <w:rFonts w:ascii="Symbol" w:hAnsi="Symbol"/>
          <w:sz w:val="20"/>
        </w:rPr>
      </w:pPr>
      <w:r>
        <w:rPr>
          <w:sz w:val="20"/>
        </w:rPr>
        <w:t>the minutes of the May 14, 2019 KRN Board meeting. Attached as </w:t>
      </w:r>
      <w:r>
        <w:rPr>
          <w:b/>
          <w:sz w:val="20"/>
        </w:rPr>
        <w:t>Exhibit “XX” </w:t>
      </w:r>
      <w:r>
        <w:rPr>
          <w:sz w:val="20"/>
        </w:rPr>
        <w:t>to the FDW Affidavit is a copy of the draft minutes of the KRN Board meeting of May 14,</w:t>
      </w:r>
      <w:r>
        <w:rPr>
          <w:spacing w:val="-25"/>
          <w:sz w:val="20"/>
        </w:rPr>
        <w:t> </w:t>
      </w:r>
      <w:r>
        <w:rPr>
          <w:sz w:val="20"/>
        </w:rPr>
        <w:t>2019.</w:t>
      </w:r>
    </w:p>
    <w:p>
      <w:pPr>
        <w:pStyle w:val="BodyText"/>
        <w:spacing w:before="7"/>
        <w:rPr>
          <w:sz w:val="21"/>
        </w:rPr>
      </w:pPr>
    </w:p>
    <w:p>
      <w:pPr>
        <w:pStyle w:val="Heading1"/>
        <w:ind w:left="119" w:firstLine="0"/>
      </w:pPr>
      <w:r>
        <w:rPr/>
        <w:t>Concerned Shareholders’ Letter to KRN Board</w:t>
      </w:r>
    </w:p>
    <w:p>
      <w:pPr>
        <w:pStyle w:val="BodyText"/>
        <w:spacing w:before="10"/>
        <w:rPr>
          <w:b/>
          <w:sz w:val="30"/>
        </w:rPr>
      </w:pPr>
    </w:p>
    <w:p>
      <w:pPr>
        <w:pStyle w:val="ListParagraph"/>
        <w:numPr>
          <w:ilvl w:val="0"/>
          <w:numId w:val="1"/>
        </w:numPr>
        <w:tabs>
          <w:tab w:pos="840" w:val="left" w:leader="none"/>
        </w:tabs>
        <w:spacing w:line="360" w:lineRule="auto" w:before="1" w:after="0"/>
        <w:ind w:left="840" w:right="1155" w:hanging="721"/>
        <w:jc w:val="both"/>
        <w:rPr>
          <w:sz w:val="20"/>
        </w:rPr>
      </w:pPr>
      <w:r>
        <w:rPr>
          <w:sz w:val="20"/>
        </w:rPr>
        <w:t>On September 7, 2019, Matson, Szabo and Zachanowich wrote a letter (the “</w:t>
      </w:r>
      <w:r>
        <w:rPr>
          <w:b/>
          <w:sz w:val="20"/>
        </w:rPr>
        <w:t>September Letter</w:t>
      </w:r>
      <w:r>
        <w:rPr>
          <w:sz w:val="20"/>
        </w:rPr>
        <w:t>”) to the KRN Board complaining about a number of matters, including governance and lack of progress</w:t>
      </w:r>
      <w:r>
        <w:rPr>
          <w:spacing w:val="-8"/>
          <w:sz w:val="20"/>
        </w:rPr>
        <w:t> </w:t>
      </w:r>
      <w:r>
        <w:rPr>
          <w:sz w:val="20"/>
        </w:rPr>
        <w:t>on</w:t>
      </w:r>
      <w:r>
        <w:rPr>
          <w:spacing w:val="-9"/>
          <w:sz w:val="20"/>
        </w:rPr>
        <w:t> </w:t>
      </w:r>
      <w:r>
        <w:rPr>
          <w:sz w:val="20"/>
        </w:rPr>
        <w:t>the</w:t>
      </w:r>
      <w:r>
        <w:rPr>
          <w:spacing w:val="-9"/>
          <w:sz w:val="20"/>
        </w:rPr>
        <w:t> </w:t>
      </w:r>
      <w:r>
        <w:rPr>
          <w:sz w:val="20"/>
        </w:rPr>
        <w:t>development</w:t>
      </w:r>
      <w:r>
        <w:rPr>
          <w:spacing w:val="-9"/>
          <w:sz w:val="20"/>
        </w:rPr>
        <w:t> </w:t>
      </w:r>
      <w:r>
        <w:rPr>
          <w:sz w:val="20"/>
        </w:rPr>
        <w:t>of</w:t>
      </w:r>
      <w:r>
        <w:rPr>
          <w:spacing w:val="-10"/>
          <w:sz w:val="20"/>
        </w:rPr>
        <w:t> </w:t>
      </w:r>
      <w:r>
        <w:rPr>
          <w:sz w:val="20"/>
        </w:rPr>
        <w:t>the</w:t>
      </w:r>
      <w:r>
        <w:rPr>
          <w:spacing w:val="-7"/>
          <w:sz w:val="20"/>
        </w:rPr>
        <w:t> </w:t>
      </w:r>
      <w:r>
        <w:rPr>
          <w:sz w:val="20"/>
        </w:rPr>
        <w:t>Nitrogen</w:t>
      </w:r>
      <w:r>
        <w:rPr>
          <w:spacing w:val="-9"/>
          <w:sz w:val="20"/>
        </w:rPr>
        <w:t> </w:t>
      </w:r>
      <w:r>
        <w:rPr>
          <w:sz w:val="20"/>
        </w:rPr>
        <w:t>Project.</w:t>
      </w:r>
      <w:r>
        <w:rPr>
          <w:spacing w:val="38"/>
          <w:sz w:val="20"/>
        </w:rPr>
        <w:t> </w:t>
      </w:r>
      <w:r>
        <w:rPr>
          <w:sz w:val="20"/>
        </w:rPr>
        <w:t>A</w:t>
      </w:r>
      <w:r>
        <w:rPr>
          <w:spacing w:val="-8"/>
          <w:sz w:val="20"/>
        </w:rPr>
        <w:t> </w:t>
      </w:r>
      <w:r>
        <w:rPr>
          <w:sz w:val="20"/>
        </w:rPr>
        <w:t>copy</w:t>
      </w:r>
      <w:r>
        <w:rPr>
          <w:spacing w:val="-8"/>
          <w:sz w:val="20"/>
        </w:rPr>
        <w:t> </w:t>
      </w:r>
      <w:r>
        <w:rPr>
          <w:sz w:val="20"/>
        </w:rPr>
        <w:t>of</w:t>
      </w:r>
      <w:r>
        <w:rPr>
          <w:spacing w:val="-10"/>
          <w:sz w:val="20"/>
        </w:rPr>
        <w:t> </w:t>
      </w:r>
      <w:r>
        <w:rPr>
          <w:sz w:val="20"/>
        </w:rPr>
        <w:t>the</w:t>
      </w:r>
      <w:r>
        <w:rPr>
          <w:spacing w:val="-9"/>
          <w:sz w:val="20"/>
        </w:rPr>
        <w:t> </w:t>
      </w:r>
      <w:r>
        <w:rPr>
          <w:sz w:val="20"/>
        </w:rPr>
        <w:t>letter</w:t>
      </w:r>
      <w:r>
        <w:rPr>
          <w:spacing w:val="-8"/>
          <w:sz w:val="20"/>
        </w:rPr>
        <w:t> </w:t>
      </w:r>
      <w:r>
        <w:rPr>
          <w:sz w:val="20"/>
        </w:rPr>
        <w:t>was</w:t>
      </w:r>
      <w:r>
        <w:rPr>
          <w:spacing w:val="-8"/>
          <w:sz w:val="20"/>
        </w:rPr>
        <w:t> </w:t>
      </w:r>
      <w:r>
        <w:rPr>
          <w:sz w:val="20"/>
        </w:rPr>
        <w:t>provided</w:t>
      </w:r>
      <w:r>
        <w:rPr>
          <w:spacing w:val="-9"/>
          <w:sz w:val="20"/>
        </w:rPr>
        <w:t> </w:t>
      </w:r>
      <w:r>
        <w:rPr>
          <w:sz w:val="20"/>
        </w:rPr>
        <w:t>to</w:t>
      </w:r>
      <w:r>
        <w:rPr>
          <w:spacing w:val="-9"/>
          <w:sz w:val="20"/>
        </w:rPr>
        <w:t> </w:t>
      </w:r>
      <w:r>
        <w:rPr>
          <w:sz w:val="20"/>
        </w:rPr>
        <w:t>the</w:t>
      </w:r>
      <w:r>
        <w:rPr>
          <w:spacing w:val="-8"/>
          <w:sz w:val="20"/>
        </w:rPr>
        <w:t> </w:t>
      </w:r>
      <w:r>
        <w:rPr>
          <w:sz w:val="20"/>
        </w:rPr>
        <w:t>TSX. Attached and marked as </w:t>
      </w:r>
      <w:r>
        <w:rPr>
          <w:b/>
          <w:sz w:val="20"/>
        </w:rPr>
        <w:t>Exhibit “CC” </w:t>
      </w:r>
      <w:r>
        <w:rPr>
          <w:sz w:val="20"/>
        </w:rPr>
        <w:t>to the FDW Affidavit is a copy of the September</w:t>
      </w:r>
      <w:r>
        <w:rPr>
          <w:spacing w:val="-28"/>
          <w:sz w:val="20"/>
        </w:rPr>
        <w:t> </w:t>
      </w:r>
      <w:r>
        <w:rPr>
          <w:sz w:val="20"/>
        </w:rPr>
        <w:t>Letter.</w:t>
      </w:r>
    </w:p>
    <w:p>
      <w:pPr>
        <w:pStyle w:val="BodyText"/>
        <w:spacing w:before="10"/>
      </w:pPr>
    </w:p>
    <w:p>
      <w:pPr>
        <w:pStyle w:val="ListParagraph"/>
        <w:numPr>
          <w:ilvl w:val="0"/>
          <w:numId w:val="1"/>
        </w:numPr>
        <w:tabs>
          <w:tab w:pos="839" w:val="left" w:leader="none"/>
          <w:tab w:pos="840" w:val="left" w:leader="none"/>
        </w:tabs>
        <w:spacing w:line="240" w:lineRule="auto" w:before="0" w:after="0"/>
        <w:ind w:left="839" w:right="0" w:hanging="721"/>
        <w:jc w:val="left"/>
        <w:rPr>
          <w:sz w:val="20"/>
        </w:rPr>
      </w:pPr>
      <w:r>
        <w:rPr>
          <w:sz w:val="20"/>
        </w:rPr>
        <w:t>I was unaware of the September</w:t>
      </w:r>
      <w:r>
        <w:rPr>
          <w:spacing w:val="-5"/>
          <w:sz w:val="20"/>
        </w:rPr>
        <w:t> </w:t>
      </w:r>
      <w:r>
        <w:rPr>
          <w:sz w:val="20"/>
        </w:rPr>
        <w:t>Letter.</w:t>
      </w:r>
    </w:p>
    <w:p>
      <w:pPr>
        <w:pStyle w:val="BodyText"/>
        <w:spacing w:before="9"/>
        <w:rPr>
          <w:sz w:val="30"/>
        </w:rPr>
      </w:pPr>
    </w:p>
    <w:p>
      <w:pPr>
        <w:pStyle w:val="ListParagraph"/>
        <w:numPr>
          <w:ilvl w:val="0"/>
          <w:numId w:val="1"/>
        </w:numPr>
        <w:tabs>
          <w:tab w:pos="840" w:val="left" w:leader="none"/>
        </w:tabs>
        <w:spacing w:line="360" w:lineRule="auto" w:before="0" w:after="0"/>
        <w:ind w:left="839" w:right="1157" w:hanging="720"/>
        <w:jc w:val="both"/>
        <w:rPr>
          <w:sz w:val="20"/>
        </w:rPr>
      </w:pPr>
      <w:r>
        <w:rPr>
          <w:sz w:val="20"/>
        </w:rPr>
        <w:t>I am advised by Matson and Szabo, and verily believe, that Varma telephoned both Matson and Szabo</w:t>
      </w:r>
      <w:r>
        <w:rPr>
          <w:spacing w:val="-9"/>
          <w:sz w:val="20"/>
        </w:rPr>
        <w:t> </w:t>
      </w:r>
      <w:r>
        <w:rPr>
          <w:sz w:val="20"/>
        </w:rPr>
        <w:t>and</w:t>
      </w:r>
      <w:r>
        <w:rPr>
          <w:spacing w:val="-6"/>
          <w:sz w:val="20"/>
        </w:rPr>
        <w:t> </w:t>
      </w:r>
      <w:r>
        <w:rPr>
          <w:sz w:val="20"/>
        </w:rPr>
        <w:t>told</w:t>
      </w:r>
      <w:r>
        <w:rPr>
          <w:spacing w:val="-6"/>
          <w:sz w:val="20"/>
        </w:rPr>
        <w:t> </w:t>
      </w:r>
      <w:r>
        <w:rPr>
          <w:sz w:val="20"/>
        </w:rPr>
        <w:t>them</w:t>
      </w:r>
      <w:r>
        <w:rPr>
          <w:spacing w:val="-7"/>
          <w:sz w:val="20"/>
        </w:rPr>
        <w:t> </w:t>
      </w:r>
      <w:r>
        <w:rPr>
          <w:sz w:val="20"/>
        </w:rPr>
        <w:t>that</w:t>
      </w:r>
      <w:r>
        <w:rPr>
          <w:spacing w:val="-7"/>
          <w:sz w:val="20"/>
        </w:rPr>
        <w:t> </w:t>
      </w:r>
      <w:r>
        <w:rPr>
          <w:sz w:val="20"/>
        </w:rPr>
        <w:t>none</w:t>
      </w:r>
      <w:r>
        <w:rPr>
          <w:spacing w:val="-6"/>
          <w:sz w:val="20"/>
        </w:rPr>
        <w:t> </w:t>
      </w:r>
      <w:r>
        <w:rPr>
          <w:sz w:val="20"/>
        </w:rPr>
        <w:t>of</w:t>
      </w:r>
      <w:r>
        <w:rPr>
          <w:spacing w:val="-7"/>
          <w:sz w:val="20"/>
        </w:rPr>
        <w:t> </w:t>
      </w:r>
      <w:r>
        <w:rPr>
          <w:sz w:val="20"/>
        </w:rPr>
        <w:t>their</w:t>
      </w:r>
      <w:r>
        <w:rPr>
          <w:spacing w:val="-6"/>
          <w:sz w:val="20"/>
        </w:rPr>
        <w:t> </w:t>
      </w:r>
      <w:r>
        <w:rPr>
          <w:sz w:val="20"/>
        </w:rPr>
        <w:t>concerns</w:t>
      </w:r>
      <w:r>
        <w:rPr>
          <w:spacing w:val="-7"/>
          <w:sz w:val="20"/>
        </w:rPr>
        <w:t> </w:t>
      </w:r>
      <w:r>
        <w:rPr>
          <w:sz w:val="20"/>
        </w:rPr>
        <w:t>were</w:t>
      </w:r>
      <w:r>
        <w:rPr>
          <w:spacing w:val="-8"/>
          <w:sz w:val="20"/>
        </w:rPr>
        <w:t> </w:t>
      </w:r>
      <w:r>
        <w:rPr>
          <w:sz w:val="20"/>
        </w:rPr>
        <w:t>legitimate</w:t>
      </w:r>
      <w:r>
        <w:rPr>
          <w:spacing w:val="-7"/>
          <w:sz w:val="20"/>
        </w:rPr>
        <w:t> </w:t>
      </w:r>
      <w:r>
        <w:rPr>
          <w:sz w:val="20"/>
        </w:rPr>
        <w:t>or</w:t>
      </w:r>
      <w:r>
        <w:rPr>
          <w:spacing w:val="-7"/>
          <w:sz w:val="20"/>
        </w:rPr>
        <w:t> </w:t>
      </w:r>
      <w:r>
        <w:rPr>
          <w:sz w:val="20"/>
        </w:rPr>
        <w:t>correct,</w:t>
      </w:r>
      <w:r>
        <w:rPr>
          <w:spacing w:val="-7"/>
          <w:sz w:val="20"/>
        </w:rPr>
        <w:t> </w:t>
      </w:r>
      <w:r>
        <w:rPr>
          <w:sz w:val="20"/>
        </w:rPr>
        <w:t>and</w:t>
      </w:r>
      <w:r>
        <w:rPr>
          <w:spacing w:val="-6"/>
          <w:sz w:val="20"/>
        </w:rPr>
        <w:t> </w:t>
      </w:r>
      <w:r>
        <w:rPr>
          <w:sz w:val="20"/>
        </w:rPr>
        <w:t>that</w:t>
      </w:r>
      <w:r>
        <w:rPr>
          <w:spacing w:val="-7"/>
          <w:sz w:val="20"/>
        </w:rPr>
        <w:t> </w:t>
      </w:r>
      <w:r>
        <w:rPr>
          <w:sz w:val="20"/>
        </w:rPr>
        <w:t>GSFC</w:t>
      </w:r>
      <w:r>
        <w:rPr>
          <w:spacing w:val="-7"/>
          <w:sz w:val="20"/>
        </w:rPr>
        <w:t> </w:t>
      </w:r>
      <w:r>
        <w:rPr>
          <w:sz w:val="20"/>
        </w:rPr>
        <w:t>and</w:t>
      </w:r>
      <w:r>
        <w:rPr>
          <w:spacing w:val="-6"/>
          <w:sz w:val="20"/>
        </w:rPr>
        <w:t> </w:t>
      </w:r>
      <w:r>
        <w:rPr>
          <w:sz w:val="20"/>
        </w:rPr>
        <w:t>the GSFC Nominees were doing everything in accordance with Canadian laws, including governance and having a KRN Board with a majority of independent</w:t>
      </w:r>
      <w:r>
        <w:rPr>
          <w:spacing w:val="-12"/>
          <w:sz w:val="20"/>
        </w:rPr>
        <w:t> </w:t>
      </w:r>
      <w:r>
        <w:rPr>
          <w:sz w:val="20"/>
        </w:rPr>
        <w:t>directors.</w:t>
      </w:r>
    </w:p>
    <w:p>
      <w:pPr>
        <w:spacing w:after="0" w:line="360" w:lineRule="auto"/>
        <w:jc w:val="both"/>
        <w:rPr>
          <w:sz w:val="20"/>
        </w:rPr>
        <w:sectPr>
          <w:footerReference w:type="default" r:id="rId17"/>
          <w:pgSz w:w="12240" w:h="15840"/>
          <w:pgMar w:footer="1259" w:header="0" w:top="1220" w:bottom="1440" w:left="1320" w:right="280"/>
          <w:pgNumType w:start="26"/>
        </w:sectPr>
      </w:pPr>
    </w:p>
    <w:p>
      <w:pPr>
        <w:pStyle w:val="ListParagraph"/>
        <w:numPr>
          <w:ilvl w:val="0"/>
          <w:numId w:val="1"/>
        </w:numPr>
        <w:tabs>
          <w:tab w:pos="841" w:val="left" w:leader="none"/>
        </w:tabs>
        <w:spacing w:line="360" w:lineRule="auto" w:before="75" w:after="0"/>
        <w:ind w:left="840" w:right="1156" w:hanging="721"/>
        <w:jc w:val="both"/>
        <w:rPr>
          <w:sz w:val="20"/>
        </w:rPr>
      </w:pPr>
      <w:r>
        <w:rPr/>
        <w:drawing>
          <wp:anchor distT="0" distB="0" distL="0" distR="0" allowOverlap="1" layoutInCell="1" locked="0" behindDoc="0" simplePos="0" relativeHeight="251686912">
            <wp:simplePos x="0" y="0"/>
            <wp:positionH relativeFrom="page">
              <wp:posOffset>6902195</wp:posOffset>
            </wp:positionH>
            <wp:positionV relativeFrom="page">
              <wp:posOffset>9462053</wp:posOffset>
            </wp:positionV>
            <wp:extent cx="547560" cy="555707"/>
            <wp:effectExtent l="0" t="0" r="0" b="0"/>
            <wp:wrapNone/>
            <wp:docPr id="45" name="image4.png"/>
            <wp:cNvGraphicFramePr>
              <a:graphicFrameLocks noChangeAspect="1"/>
            </wp:cNvGraphicFramePr>
            <a:graphic>
              <a:graphicData uri="http://schemas.openxmlformats.org/drawingml/2006/picture">
                <pic:pic>
                  <pic:nvPicPr>
                    <pic:cNvPr id="46" name="image4.png"/>
                    <pic:cNvPicPr/>
                  </pic:nvPicPr>
                  <pic:blipFill>
                    <a:blip r:embed="rId9" cstate="print"/>
                    <a:stretch>
                      <a:fillRect/>
                    </a:stretch>
                  </pic:blipFill>
                  <pic:spPr>
                    <a:xfrm>
                      <a:off x="0" y="0"/>
                      <a:ext cx="547560" cy="555707"/>
                    </a:xfrm>
                    <a:prstGeom prst="rect">
                      <a:avLst/>
                    </a:prstGeom>
                  </pic:spPr>
                </pic:pic>
              </a:graphicData>
            </a:graphic>
          </wp:anchor>
        </w:drawing>
      </w:r>
      <w:r>
        <w:rPr/>
        <w:drawing>
          <wp:anchor distT="0" distB="0" distL="0" distR="0" allowOverlap="1" layoutInCell="1" locked="0" behindDoc="0" simplePos="0" relativeHeight="251687936">
            <wp:simplePos x="0" y="0"/>
            <wp:positionH relativeFrom="page">
              <wp:posOffset>5949873</wp:posOffset>
            </wp:positionH>
            <wp:positionV relativeFrom="page">
              <wp:posOffset>9364431</wp:posOffset>
            </wp:positionV>
            <wp:extent cx="876722" cy="555707"/>
            <wp:effectExtent l="0" t="0" r="0" b="0"/>
            <wp:wrapNone/>
            <wp:docPr id="47" name="image5.png"/>
            <wp:cNvGraphicFramePr>
              <a:graphicFrameLocks noChangeAspect="1"/>
            </wp:cNvGraphicFramePr>
            <a:graphic>
              <a:graphicData uri="http://schemas.openxmlformats.org/drawingml/2006/picture">
                <pic:pic>
                  <pic:nvPicPr>
                    <pic:cNvPr id="48" name="image5.png"/>
                    <pic:cNvPicPr/>
                  </pic:nvPicPr>
                  <pic:blipFill>
                    <a:blip r:embed="rId10" cstate="print"/>
                    <a:stretch>
                      <a:fillRect/>
                    </a:stretch>
                  </pic:blipFill>
                  <pic:spPr>
                    <a:xfrm>
                      <a:off x="0" y="0"/>
                      <a:ext cx="876722" cy="555707"/>
                    </a:xfrm>
                    <a:prstGeom prst="rect">
                      <a:avLst/>
                    </a:prstGeom>
                  </pic:spPr>
                </pic:pic>
              </a:graphicData>
            </a:graphic>
          </wp:anchor>
        </w:drawing>
      </w:r>
      <w:r>
        <w:rPr>
          <w:sz w:val="20"/>
        </w:rPr>
        <w:t>I</w:t>
      </w:r>
      <w:r>
        <w:rPr>
          <w:spacing w:val="-15"/>
          <w:sz w:val="20"/>
        </w:rPr>
        <w:t> </w:t>
      </w:r>
      <w:r>
        <w:rPr>
          <w:sz w:val="20"/>
        </w:rPr>
        <w:t>verily</w:t>
      </w:r>
      <w:r>
        <w:rPr>
          <w:spacing w:val="-14"/>
          <w:sz w:val="20"/>
        </w:rPr>
        <w:t> </w:t>
      </w:r>
      <w:r>
        <w:rPr>
          <w:sz w:val="20"/>
        </w:rPr>
        <w:t>believe</w:t>
      </w:r>
      <w:r>
        <w:rPr>
          <w:spacing w:val="-15"/>
          <w:sz w:val="20"/>
        </w:rPr>
        <w:t> </w:t>
      </w:r>
      <w:r>
        <w:rPr>
          <w:sz w:val="20"/>
        </w:rPr>
        <w:t>that</w:t>
      </w:r>
      <w:r>
        <w:rPr>
          <w:spacing w:val="-15"/>
          <w:sz w:val="20"/>
        </w:rPr>
        <w:t> </w:t>
      </w:r>
      <w:r>
        <w:rPr>
          <w:sz w:val="20"/>
        </w:rPr>
        <w:t>Varma</w:t>
      </w:r>
      <w:r>
        <w:rPr>
          <w:spacing w:val="-15"/>
          <w:sz w:val="20"/>
        </w:rPr>
        <w:t> </w:t>
      </w:r>
      <w:r>
        <w:rPr>
          <w:sz w:val="20"/>
        </w:rPr>
        <w:t>thought</w:t>
      </w:r>
      <w:r>
        <w:rPr>
          <w:spacing w:val="-15"/>
          <w:sz w:val="20"/>
        </w:rPr>
        <w:t> </w:t>
      </w:r>
      <w:r>
        <w:rPr>
          <w:sz w:val="20"/>
        </w:rPr>
        <w:t>I</w:t>
      </w:r>
      <w:r>
        <w:rPr>
          <w:spacing w:val="-15"/>
          <w:sz w:val="20"/>
        </w:rPr>
        <w:t> </w:t>
      </w:r>
      <w:r>
        <w:rPr>
          <w:sz w:val="20"/>
        </w:rPr>
        <w:t>was</w:t>
      </w:r>
      <w:r>
        <w:rPr>
          <w:spacing w:val="-14"/>
          <w:sz w:val="20"/>
        </w:rPr>
        <w:t> </w:t>
      </w:r>
      <w:r>
        <w:rPr>
          <w:sz w:val="20"/>
        </w:rPr>
        <w:t>the</w:t>
      </w:r>
      <w:r>
        <w:rPr>
          <w:spacing w:val="-15"/>
          <w:sz w:val="20"/>
        </w:rPr>
        <w:t> </w:t>
      </w:r>
      <w:r>
        <w:rPr>
          <w:sz w:val="20"/>
        </w:rPr>
        <w:t>real</w:t>
      </w:r>
      <w:r>
        <w:rPr>
          <w:spacing w:val="-15"/>
          <w:sz w:val="20"/>
        </w:rPr>
        <w:t> </w:t>
      </w:r>
      <w:r>
        <w:rPr>
          <w:sz w:val="20"/>
        </w:rPr>
        <w:t>author</w:t>
      </w:r>
      <w:r>
        <w:rPr>
          <w:spacing w:val="-16"/>
          <w:sz w:val="20"/>
        </w:rPr>
        <w:t> </w:t>
      </w:r>
      <w:r>
        <w:rPr>
          <w:sz w:val="20"/>
        </w:rPr>
        <w:t>of</w:t>
      </w:r>
      <w:r>
        <w:rPr>
          <w:spacing w:val="-15"/>
          <w:sz w:val="20"/>
        </w:rPr>
        <w:t> </w:t>
      </w:r>
      <w:r>
        <w:rPr>
          <w:sz w:val="20"/>
        </w:rPr>
        <w:t>the</w:t>
      </w:r>
      <w:r>
        <w:rPr>
          <w:spacing w:val="-15"/>
          <w:sz w:val="20"/>
        </w:rPr>
        <w:t> </w:t>
      </w:r>
      <w:r>
        <w:rPr>
          <w:sz w:val="20"/>
        </w:rPr>
        <w:t>September</w:t>
      </w:r>
      <w:r>
        <w:rPr>
          <w:spacing w:val="-14"/>
          <w:sz w:val="20"/>
        </w:rPr>
        <w:t> </w:t>
      </w:r>
      <w:r>
        <w:rPr>
          <w:sz w:val="20"/>
        </w:rPr>
        <w:t>Letter,</w:t>
      </w:r>
      <w:r>
        <w:rPr>
          <w:spacing w:val="-15"/>
          <w:sz w:val="20"/>
        </w:rPr>
        <w:t> </w:t>
      </w:r>
      <w:r>
        <w:rPr>
          <w:sz w:val="20"/>
        </w:rPr>
        <w:t>and</w:t>
      </w:r>
      <w:r>
        <w:rPr>
          <w:spacing w:val="-15"/>
          <w:sz w:val="20"/>
        </w:rPr>
        <w:t> </w:t>
      </w:r>
      <w:r>
        <w:rPr>
          <w:sz w:val="20"/>
        </w:rPr>
        <w:t>the</w:t>
      </w:r>
      <w:r>
        <w:rPr>
          <w:spacing w:val="-15"/>
          <w:sz w:val="20"/>
        </w:rPr>
        <w:t> </w:t>
      </w:r>
      <w:r>
        <w:rPr>
          <w:sz w:val="20"/>
        </w:rPr>
        <w:t>September Letter was the final straw that precipitated my termination. I am advised by Szabo, and verily believe, that Szabo was the author of the September</w:t>
      </w:r>
      <w:r>
        <w:rPr>
          <w:spacing w:val="-10"/>
          <w:sz w:val="20"/>
        </w:rPr>
        <w:t> </w:t>
      </w:r>
      <w:r>
        <w:rPr>
          <w:sz w:val="20"/>
        </w:rPr>
        <w:t>Letter.</w:t>
      </w:r>
    </w:p>
    <w:p>
      <w:pPr>
        <w:pStyle w:val="BodyText"/>
        <w:spacing w:before="10"/>
      </w:pPr>
    </w:p>
    <w:p>
      <w:pPr>
        <w:pStyle w:val="Heading1"/>
        <w:ind w:left="119" w:firstLine="0"/>
      </w:pPr>
      <w:r>
        <w:rPr/>
        <w:t>My Termination by GSFC</w:t>
      </w:r>
    </w:p>
    <w:p>
      <w:pPr>
        <w:pStyle w:val="BodyText"/>
        <w:spacing w:before="10"/>
        <w:rPr>
          <w:b/>
          <w:sz w:val="30"/>
        </w:rPr>
      </w:pPr>
    </w:p>
    <w:p>
      <w:pPr>
        <w:pStyle w:val="ListParagraph"/>
        <w:numPr>
          <w:ilvl w:val="0"/>
          <w:numId w:val="1"/>
        </w:numPr>
        <w:tabs>
          <w:tab w:pos="839" w:val="left" w:leader="none"/>
          <w:tab w:pos="840" w:val="left" w:leader="none"/>
        </w:tabs>
        <w:spacing w:line="240" w:lineRule="auto" w:before="1" w:after="0"/>
        <w:ind w:left="839" w:right="0" w:hanging="721"/>
        <w:jc w:val="left"/>
        <w:rPr>
          <w:b/>
          <w:sz w:val="20"/>
        </w:rPr>
      </w:pPr>
      <w:r>
        <w:rPr>
          <w:sz w:val="20"/>
        </w:rPr>
        <w:t>On September 11, 2019, I was terminated without cause. Attached and marked as </w:t>
      </w:r>
      <w:r>
        <w:rPr>
          <w:b/>
          <w:sz w:val="20"/>
        </w:rPr>
        <w:t>Exhibit</w:t>
      </w:r>
      <w:r>
        <w:rPr>
          <w:b/>
          <w:spacing w:val="26"/>
          <w:sz w:val="20"/>
        </w:rPr>
        <w:t> </w:t>
      </w:r>
      <w:r>
        <w:rPr>
          <w:b/>
          <w:sz w:val="20"/>
        </w:rPr>
        <w:t>“DD”</w:t>
      </w:r>
    </w:p>
    <w:p>
      <w:pPr>
        <w:pStyle w:val="BodyText"/>
        <w:spacing w:before="114"/>
        <w:ind w:left="839"/>
      </w:pPr>
      <w:r>
        <w:rPr/>
        <w:t>to the FDW Affidavit is a copy of KRN press release of September 11, 2019.</w:t>
      </w:r>
    </w:p>
    <w:p>
      <w:pPr>
        <w:pStyle w:val="BodyText"/>
        <w:spacing w:before="11"/>
        <w:rPr>
          <w:sz w:val="30"/>
        </w:rPr>
      </w:pPr>
    </w:p>
    <w:p>
      <w:pPr>
        <w:pStyle w:val="ListParagraph"/>
        <w:numPr>
          <w:ilvl w:val="0"/>
          <w:numId w:val="1"/>
        </w:numPr>
        <w:tabs>
          <w:tab w:pos="840" w:val="left" w:leader="none"/>
        </w:tabs>
        <w:spacing w:line="360" w:lineRule="auto" w:before="0" w:after="0"/>
        <w:ind w:left="839" w:right="1158" w:hanging="721"/>
        <w:jc w:val="both"/>
        <w:rPr>
          <w:sz w:val="20"/>
        </w:rPr>
      </w:pPr>
      <w:r>
        <w:rPr>
          <w:sz w:val="20"/>
        </w:rPr>
        <w:t>A KRN Board meeting was scheduled for September 11, 2019. When the KRN Board meeting started, Favreau and I were asked to leave the meeting so the directors could go in</w:t>
      </w:r>
      <w:r>
        <w:rPr>
          <w:spacing w:val="-29"/>
          <w:sz w:val="20"/>
        </w:rPr>
        <w:t> </w:t>
      </w:r>
      <w:r>
        <w:rPr>
          <w:sz w:val="20"/>
        </w:rPr>
        <w:t>camera.</w:t>
      </w:r>
    </w:p>
    <w:p>
      <w:pPr>
        <w:pStyle w:val="BodyText"/>
        <w:spacing w:before="10"/>
      </w:pPr>
    </w:p>
    <w:p>
      <w:pPr>
        <w:pStyle w:val="ListParagraph"/>
        <w:numPr>
          <w:ilvl w:val="0"/>
          <w:numId w:val="1"/>
        </w:numPr>
        <w:tabs>
          <w:tab w:pos="840" w:val="left" w:leader="none"/>
        </w:tabs>
        <w:spacing w:line="360" w:lineRule="auto" w:before="0" w:after="0"/>
        <w:ind w:left="839" w:right="1157" w:hanging="721"/>
        <w:jc w:val="both"/>
        <w:rPr>
          <w:sz w:val="20"/>
        </w:rPr>
      </w:pPr>
      <w:r>
        <w:rPr>
          <w:sz w:val="20"/>
        </w:rPr>
        <w:t>Favreau</w:t>
      </w:r>
      <w:r>
        <w:rPr>
          <w:spacing w:val="-9"/>
          <w:sz w:val="20"/>
        </w:rPr>
        <w:t> </w:t>
      </w:r>
      <w:r>
        <w:rPr>
          <w:sz w:val="20"/>
        </w:rPr>
        <w:t>asked</w:t>
      </w:r>
      <w:r>
        <w:rPr>
          <w:spacing w:val="-8"/>
          <w:sz w:val="20"/>
        </w:rPr>
        <w:t> </w:t>
      </w:r>
      <w:r>
        <w:rPr>
          <w:sz w:val="20"/>
        </w:rPr>
        <w:t>me</w:t>
      </w:r>
      <w:r>
        <w:rPr>
          <w:spacing w:val="-8"/>
          <w:sz w:val="20"/>
        </w:rPr>
        <w:t> </w:t>
      </w:r>
      <w:r>
        <w:rPr>
          <w:sz w:val="20"/>
        </w:rPr>
        <w:t>to</w:t>
      </w:r>
      <w:r>
        <w:rPr>
          <w:spacing w:val="-8"/>
          <w:sz w:val="20"/>
        </w:rPr>
        <w:t> </w:t>
      </w:r>
      <w:r>
        <w:rPr>
          <w:sz w:val="20"/>
        </w:rPr>
        <w:t>go</w:t>
      </w:r>
      <w:r>
        <w:rPr>
          <w:spacing w:val="-8"/>
          <w:sz w:val="20"/>
        </w:rPr>
        <w:t> </w:t>
      </w:r>
      <w:r>
        <w:rPr>
          <w:sz w:val="20"/>
        </w:rPr>
        <w:t>to</w:t>
      </w:r>
      <w:r>
        <w:rPr>
          <w:spacing w:val="-8"/>
          <w:sz w:val="20"/>
        </w:rPr>
        <w:t> </w:t>
      </w:r>
      <w:r>
        <w:rPr>
          <w:sz w:val="20"/>
        </w:rPr>
        <w:t>the</w:t>
      </w:r>
      <w:r>
        <w:rPr>
          <w:spacing w:val="-8"/>
          <w:sz w:val="20"/>
        </w:rPr>
        <w:t> </w:t>
      </w:r>
      <w:r>
        <w:rPr>
          <w:sz w:val="20"/>
        </w:rPr>
        <w:t>boardroom</w:t>
      </w:r>
      <w:r>
        <w:rPr>
          <w:spacing w:val="-8"/>
          <w:sz w:val="20"/>
        </w:rPr>
        <w:t> </w:t>
      </w:r>
      <w:r>
        <w:rPr>
          <w:sz w:val="20"/>
        </w:rPr>
        <w:t>in</w:t>
      </w:r>
      <w:r>
        <w:rPr>
          <w:spacing w:val="-8"/>
          <w:sz w:val="20"/>
        </w:rPr>
        <w:t> </w:t>
      </w:r>
      <w:r>
        <w:rPr>
          <w:sz w:val="20"/>
        </w:rPr>
        <w:t>KRN’s</w:t>
      </w:r>
      <w:r>
        <w:rPr>
          <w:spacing w:val="-7"/>
          <w:sz w:val="20"/>
        </w:rPr>
        <w:t> </w:t>
      </w:r>
      <w:r>
        <w:rPr>
          <w:sz w:val="20"/>
        </w:rPr>
        <w:t>offices,</w:t>
      </w:r>
      <w:r>
        <w:rPr>
          <w:spacing w:val="-9"/>
          <w:sz w:val="20"/>
        </w:rPr>
        <w:t> </w:t>
      </w:r>
      <w:r>
        <w:rPr>
          <w:sz w:val="20"/>
        </w:rPr>
        <w:t>where</w:t>
      </w:r>
      <w:r>
        <w:rPr>
          <w:spacing w:val="-8"/>
          <w:sz w:val="20"/>
        </w:rPr>
        <w:t> </w:t>
      </w:r>
      <w:r>
        <w:rPr>
          <w:sz w:val="20"/>
        </w:rPr>
        <w:t>she</w:t>
      </w:r>
      <w:r>
        <w:rPr>
          <w:spacing w:val="-8"/>
          <w:sz w:val="20"/>
        </w:rPr>
        <w:t> </w:t>
      </w:r>
      <w:r>
        <w:rPr>
          <w:sz w:val="20"/>
        </w:rPr>
        <w:t>handed</w:t>
      </w:r>
      <w:r>
        <w:rPr>
          <w:spacing w:val="-8"/>
          <w:sz w:val="20"/>
        </w:rPr>
        <w:t> </w:t>
      </w:r>
      <w:r>
        <w:rPr>
          <w:sz w:val="20"/>
        </w:rPr>
        <w:t>me</w:t>
      </w:r>
      <w:r>
        <w:rPr>
          <w:spacing w:val="-8"/>
          <w:sz w:val="20"/>
        </w:rPr>
        <w:t> </w:t>
      </w:r>
      <w:r>
        <w:rPr>
          <w:sz w:val="20"/>
        </w:rPr>
        <w:t>a</w:t>
      </w:r>
      <w:r>
        <w:rPr>
          <w:spacing w:val="-8"/>
          <w:sz w:val="20"/>
        </w:rPr>
        <w:t> </w:t>
      </w:r>
      <w:r>
        <w:rPr>
          <w:sz w:val="20"/>
        </w:rPr>
        <w:t>letter</w:t>
      </w:r>
      <w:r>
        <w:rPr>
          <w:spacing w:val="-7"/>
          <w:sz w:val="20"/>
        </w:rPr>
        <w:t> </w:t>
      </w:r>
      <w:r>
        <w:rPr>
          <w:sz w:val="20"/>
        </w:rPr>
        <w:t>from</w:t>
      </w:r>
      <w:r>
        <w:rPr>
          <w:spacing w:val="-9"/>
          <w:sz w:val="20"/>
        </w:rPr>
        <w:t> </w:t>
      </w:r>
      <w:r>
        <w:rPr>
          <w:sz w:val="20"/>
        </w:rPr>
        <w:t>the KRN Board terminating me without cause, effective</w:t>
      </w:r>
      <w:r>
        <w:rPr>
          <w:spacing w:val="-9"/>
          <w:sz w:val="20"/>
        </w:rPr>
        <w:t> </w:t>
      </w:r>
      <w:r>
        <w:rPr>
          <w:sz w:val="20"/>
        </w:rPr>
        <w:t>immediately.</w:t>
      </w:r>
    </w:p>
    <w:p>
      <w:pPr>
        <w:pStyle w:val="BodyText"/>
        <w:spacing w:before="10"/>
      </w:pPr>
    </w:p>
    <w:p>
      <w:pPr>
        <w:pStyle w:val="ListParagraph"/>
        <w:numPr>
          <w:ilvl w:val="0"/>
          <w:numId w:val="1"/>
        </w:numPr>
        <w:tabs>
          <w:tab w:pos="840" w:val="left" w:leader="none"/>
        </w:tabs>
        <w:spacing w:line="360" w:lineRule="auto" w:before="0" w:after="0"/>
        <w:ind w:left="838" w:right="1158" w:hanging="720"/>
        <w:jc w:val="both"/>
        <w:rPr>
          <w:sz w:val="20"/>
        </w:rPr>
      </w:pPr>
      <w:r>
        <w:rPr>
          <w:sz w:val="20"/>
        </w:rPr>
        <w:t>Favreau took my phone, my laptop, and my keys to a Karnalyte vehicle I was driving, gave me a box to pack my personal items, and walked me out the door. As I had no vehicle, Rowan gave me a ride</w:t>
      </w:r>
      <w:r>
        <w:rPr>
          <w:spacing w:val="-3"/>
          <w:sz w:val="20"/>
        </w:rPr>
        <w:t> </w:t>
      </w:r>
      <w:r>
        <w:rPr>
          <w:sz w:val="20"/>
        </w:rPr>
        <w:t>home.</w:t>
      </w:r>
    </w:p>
    <w:p>
      <w:pPr>
        <w:pStyle w:val="BodyText"/>
        <w:spacing w:before="9"/>
      </w:pPr>
    </w:p>
    <w:p>
      <w:pPr>
        <w:pStyle w:val="Heading1"/>
        <w:spacing w:before="1"/>
        <w:ind w:left="118" w:firstLine="0"/>
      </w:pPr>
      <w:r>
        <w:rPr/>
        <w:t>The Second Shakedown of the Potential Nitrogen Partner</w:t>
      </w:r>
    </w:p>
    <w:p>
      <w:pPr>
        <w:pStyle w:val="BodyText"/>
        <w:spacing w:before="10"/>
        <w:rPr>
          <w:b/>
          <w:sz w:val="30"/>
        </w:rPr>
      </w:pPr>
    </w:p>
    <w:p>
      <w:pPr>
        <w:pStyle w:val="ListParagraph"/>
        <w:numPr>
          <w:ilvl w:val="0"/>
          <w:numId w:val="1"/>
        </w:numPr>
        <w:tabs>
          <w:tab w:pos="839" w:val="left" w:leader="none"/>
        </w:tabs>
        <w:spacing w:line="360" w:lineRule="auto" w:before="0" w:after="0"/>
        <w:ind w:left="837" w:right="1159" w:hanging="720"/>
        <w:jc w:val="both"/>
        <w:rPr>
          <w:sz w:val="20"/>
        </w:rPr>
      </w:pPr>
      <w:r>
        <w:rPr>
          <w:sz w:val="20"/>
        </w:rPr>
        <w:t>I am advised by Rowan, and verily believe that, during the week following my termination, Varma and Favreau sent a memorandum of understanding (the “</w:t>
      </w:r>
      <w:r>
        <w:rPr>
          <w:b/>
          <w:sz w:val="20"/>
        </w:rPr>
        <w:t>MOU</w:t>
      </w:r>
      <w:r>
        <w:rPr>
          <w:sz w:val="20"/>
        </w:rPr>
        <w:t>”) to the</w:t>
      </w:r>
      <w:r>
        <w:rPr>
          <w:spacing w:val="-16"/>
          <w:sz w:val="20"/>
        </w:rPr>
        <w:t> </w:t>
      </w:r>
      <w:r>
        <w:rPr>
          <w:sz w:val="20"/>
        </w:rPr>
        <w:t>AgCo.</w:t>
      </w:r>
    </w:p>
    <w:p>
      <w:pPr>
        <w:pStyle w:val="BodyText"/>
        <w:spacing w:before="10"/>
      </w:pPr>
    </w:p>
    <w:p>
      <w:pPr>
        <w:pStyle w:val="ListParagraph"/>
        <w:numPr>
          <w:ilvl w:val="0"/>
          <w:numId w:val="1"/>
        </w:numPr>
        <w:tabs>
          <w:tab w:pos="838" w:val="left" w:leader="none"/>
        </w:tabs>
        <w:spacing w:line="360" w:lineRule="auto" w:before="0" w:after="0"/>
        <w:ind w:left="837" w:right="1159" w:hanging="720"/>
        <w:jc w:val="both"/>
        <w:rPr>
          <w:sz w:val="20"/>
        </w:rPr>
      </w:pPr>
      <w:r>
        <w:rPr>
          <w:sz w:val="20"/>
        </w:rPr>
        <w:t>I am advised by Rowan, and verily believe, that Varma and Favreau never heard from the AgCo after sending them the</w:t>
      </w:r>
      <w:r>
        <w:rPr>
          <w:spacing w:val="-5"/>
          <w:sz w:val="20"/>
        </w:rPr>
        <w:t> </w:t>
      </w:r>
      <w:r>
        <w:rPr>
          <w:sz w:val="20"/>
        </w:rPr>
        <w:t>MOU.</w:t>
      </w:r>
    </w:p>
    <w:p>
      <w:pPr>
        <w:pStyle w:val="BodyText"/>
        <w:spacing w:before="10"/>
      </w:pPr>
    </w:p>
    <w:p>
      <w:pPr>
        <w:pStyle w:val="ListParagraph"/>
        <w:numPr>
          <w:ilvl w:val="0"/>
          <w:numId w:val="1"/>
        </w:numPr>
        <w:tabs>
          <w:tab w:pos="838" w:val="left" w:leader="none"/>
        </w:tabs>
        <w:spacing w:line="360" w:lineRule="auto" w:before="1" w:after="0"/>
        <w:ind w:left="837" w:right="1158" w:hanging="721"/>
        <w:jc w:val="both"/>
        <w:rPr>
          <w:sz w:val="20"/>
        </w:rPr>
      </w:pPr>
      <w:r>
        <w:rPr>
          <w:sz w:val="20"/>
        </w:rPr>
        <w:t>I had discussed the concept of a MOU with the AgCo and, given that the AgCo was not interested in entering into such a MOU or funding any of the up-front costs of the Nitrogen Project, I never pursued the discussion with the</w:t>
      </w:r>
      <w:r>
        <w:rPr>
          <w:spacing w:val="-6"/>
          <w:sz w:val="20"/>
        </w:rPr>
        <w:t> </w:t>
      </w:r>
      <w:r>
        <w:rPr>
          <w:sz w:val="20"/>
        </w:rPr>
        <w:t>AgCo.</w:t>
      </w:r>
    </w:p>
    <w:p>
      <w:pPr>
        <w:pStyle w:val="BodyText"/>
        <w:spacing w:before="9"/>
      </w:pPr>
    </w:p>
    <w:p>
      <w:pPr>
        <w:pStyle w:val="ListParagraph"/>
        <w:numPr>
          <w:ilvl w:val="0"/>
          <w:numId w:val="1"/>
        </w:numPr>
        <w:tabs>
          <w:tab w:pos="838" w:val="left" w:leader="none"/>
        </w:tabs>
        <w:spacing w:line="360" w:lineRule="auto" w:before="0" w:after="0"/>
        <w:ind w:left="837" w:right="1159" w:hanging="721"/>
        <w:jc w:val="both"/>
        <w:rPr>
          <w:sz w:val="20"/>
        </w:rPr>
      </w:pPr>
      <w:r>
        <w:rPr>
          <w:sz w:val="20"/>
        </w:rPr>
        <w:t>I am advised by Rowan, and verily believe, that sending the MOU to the AgCo was an attempt at a</w:t>
      </w:r>
      <w:r>
        <w:rPr>
          <w:spacing w:val="-9"/>
          <w:sz w:val="20"/>
        </w:rPr>
        <w:t> </w:t>
      </w:r>
      <w:r>
        <w:rPr>
          <w:sz w:val="20"/>
        </w:rPr>
        <w:t>second</w:t>
      </w:r>
      <w:r>
        <w:rPr>
          <w:spacing w:val="-10"/>
          <w:sz w:val="20"/>
        </w:rPr>
        <w:t> </w:t>
      </w:r>
      <w:r>
        <w:rPr>
          <w:sz w:val="20"/>
        </w:rPr>
        <w:t>shakedown</w:t>
      </w:r>
      <w:r>
        <w:rPr>
          <w:spacing w:val="-9"/>
          <w:sz w:val="20"/>
        </w:rPr>
        <w:t> </w:t>
      </w:r>
      <w:r>
        <w:rPr>
          <w:sz w:val="20"/>
        </w:rPr>
        <w:t>of</w:t>
      </w:r>
      <w:r>
        <w:rPr>
          <w:spacing w:val="-9"/>
          <w:sz w:val="20"/>
        </w:rPr>
        <w:t> </w:t>
      </w:r>
      <w:r>
        <w:rPr>
          <w:sz w:val="20"/>
        </w:rPr>
        <w:t>the</w:t>
      </w:r>
      <w:r>
        <w:rPr>
          <w:spacing w:val="-9"/>
          <w:sz w:val="20"/>
        </w:rPr>
        <w:t> </w:t>
      </w:r>
      <w:r>
        <w:rPr>
          <w:sz w:val="20"/>
        </w:rPr>
        <w:t>AgCo</w:t>
      </w:r>
      <w:r>
        <w:rPr>
          <w:spacing w:val="-9"/>
          <w:sz w:val="20"/>
        </w:rPr>
        <w:t> </w:t>
      </w:r>
      <w:r>
        <w:rPr>
          <w:sz w:val="20"/>
        </w:rPr>
        <w:t>by</w:t>
      </w:r>
      <w:r>
        <w:rPr>
          <w:spacing w:val="-8"/>
          <w:sz w:val="20"/>
        </w:rPr>
        <w:t> </w:t>
      </w:r>
      <w:r>
        <w:rPr>
          <w:sz w:val="20"/>
        </w:rPr>
        <w:t>Varma</w:t>
      </w:r>
      <w:r>
        <w:rPr>
          <w:spacing w:val="-9"/>
          <w:sz w:val="20"/>
        </w:rPr>
        <w:t> </w:t>
      </w:r>
      <w:r>
        <w:rPr>
          <w:sz w:val="20"/>
        </w:rPr>
        <w:t>and</w:t>
      </w:r>
      <w:r>
        <w:rPr>
          <w:spacing w:val="-9"/>
          <w:sz w:val="20"/>
        </w:rPr>
        <w:t> </w:t>
      </w:r>
      <w:r>
        <w:rPr>
          <w:sz w:val="20"/>
        </w:rPr>
        <w:t>Favreau</w:t>
      </w:r>
      <w:r>
        <w:rPr>
          <w:spacing w:val="-9"/>
          <w:sz w:val="20"/>
        </w:rPr>
        <w:t> </w:t>
      </w:r>
      <w:r>
        <w:rPr>
          <w:sz w:val="20"/>
        </w:rPr>
        <w:t>because</w:t>
      </w:r>
      <w:r>
        <w:rPr>
          <w:spacing w:val="-10"/>
          <w:sz w:val="20"/>
        </w:rPr>
        <w:t> </w:t>
      </w:r>
      <w:r>
        <w:rPr>
          <w:sz w:val="20"/>
        </w:rPr>
        <w:t>the</w:t>
      </w:r>
      <w:r>
        <w:rPr>
          <w:spacing w:val="-9"/>
          <w:sz w:val="20"/>
        </w:rPr>
        <w:t> </w:t>
      </w:r>
      <w:r>
        <w:rPr>
          <w:sz w:val="20"/>
        </w:rPr>
        <w:t>first</w:t>
      </w:r>
      <w:r>
        <w:rPr>
          <w:spacing w:val="-11"/>
          <w:sz w:val="20"/>
        </w:rPr>
        <w:t> </w:t>
      </w:r>
      <w:r>
        <w:rPr>
          <w:sz w:val="20"/>
        </w:rPr>
        <w:t>shakedown</w:t>
      </w:r>
      <w:r>
        <w:rPr>
          <w:spacing w:val="-9"/>
          <w:sz w:val="20"/>
        </w:rPr>
        <w:t> </w:t>
      </w:r>
      <w:r>
        <w:rPr>
          <w:sz w:val="20"/>
        </w:rPr>
        <w:t>didn’t</w:t>
      </w:r>
      <w:r>
        <w:rPr>
          <w:spacing w:val="-11"/>
          <w:sz w:val="20"/>
        </w:rPr>
        <w:t> </w:t>
      </w:r>
      <w:r>
        <w:rPr>
          <w:sz w:val="20"/>
        </w:rPr>
        <w:t>work.</w:t>
      </w:r>
    </w:p>
    <w:p>
      <w:pPr>
        <w:pStyle w:val="BodyText"/>
        <w:spacing w:before="10"/>
      </w:pPr>
    </w:p>
    <w:p>
      <w:pPr>
        <w:pStyle w:val="Heading1"/>
        <w:ind w:left="117" w:firstLine="0"/>
      </w:pPr>
      <w:r>
        <w:rPr/>
        <w:t>Pre-Feasibility Study on Nitrogen Project</w:t>
      </w:r>
    </w:p>
    <w:p>
      <w:pPr>
        <w:pStyle w:val="BodyText"/>
        <w:spacing w:before="10"/>
        <w:rPr>
          <w:b/>
          <w:sz w:val="30"/>
        </w:rPr>
      </w:pPr>
    </w:p>
    <w:p>
      <w:pPr>
        <w:pStyle w:val="ListParagraph"/>
        <w:numPr>
          <w:ilvl w:val="0"/>
          <w:numId w:val="1"/>
        </w:numPr>
        <w:tabs>
          <w:tab w:pos="838" w:val="left" w:leader="none"/>
        </w:tabs>
        <w:spacing w:line="360" w:lineRule="auto" w:before="0" w:after="0"/>
        <w:ind w:left="837" w:right="1160" w:hanging="720"/>
        <w:jc w:val="both"/>
        <w:rPr>
          <w:sz w:val="20"/>
        </w:rPr>
      </w:pPr>
      <w:r>
        <w:rPr>
          <w:sz w:val="20"/>
        </w:rPr>
        <w:t>In November 2019, KRN announced that it had begun a pre-feasibility study (the “</w:t>
      </w:r>
      <w:r>
        <w:rPr>
          <w:b/>
          <w:sz w:val="20"/>
        </w:rPr>
        <w:t>Study</w:t>
      </w:r>
      <w:r>
        <w:rPr>
          <w:sz w:val="20"/>
        </w:rPr>
        <w:t>”) on the Nitrogen</w:t>
      </w:r>
      <w:r>
        <w:rPr>
          <w:spacing w:val="-6"/>
          <w:sz w:val="20"/>
        </w:rPr>
        <w:t> </w:t>
      </w:r>
      <w:r>
        <w:rPr>
          <w:sz w:val="20"/>
        </w:rPr>
        <w:t>Project.</w:t>
      </w:r>
      <w:r>
        <w:rPr>
          <w:spacing w:val="44"/>
          <w:sz w:val="20"/>
        </w:rPr>
        <w:t> </w:t>
      </w:r>
      <w:r>
        <w:rPr>
          <w:sz w:val="20"/>
        </w:rPr>
        <w:t>On</w:t>
      </w:r>
      <w:r>
        <w:rPr>
          <w:spacing w:val="-7"/>
          <w:sz w:val="20"/>
        </w:rPr>
        <w:t> </w:t>
      </w:r>
      <w:r>
        <w:rPr>
          <w:sz w:val="20"/>
        </w:rPr>
        <w:t>July</w:t>
      </w:r>
      <w:r>
        <w:rPr>
          <w:spacing w:val="-6"/>
          <w:sz w:val="20"/>
        </w:rPr>
        <w:t> </w:t>
      </w:r>
      <w:r>
        <w:rPr>
          <w:sz w:val="20"/>
        </w:rPr>
        <w:t>21,</w:t>
      </w:r>
      <w:r>
        <w:rPr>
          <w:spacing w:val="-7"/>
          <w:sz w:val="20"/>
        </w:rPr>
        <w:t> </w:t>
      </w:r>
      <w:r>
        <w:rPr>
          <w:sz w:val="20"/>
        </w:rPr>
        <w:t>2020,</w:t>
      </w:r>
      <w:r>
        <w:rPr>
          <w:spacing w:val="-6"/>
          <w:sz w:val="20"/>
        </w:rPr>
        <w:t> </w:t>
      </w:r>
      <w:r>
        <w:rPr>
          <w:sz w:val="20"/>
        </w:rPr>
        <w:t>KRN</w:t>
      </w:r>
      <w:r>
        <w:rPr>
          <w:spacing w:val="-6"/>
          <w:sz w:val="20"/>
        </w:rPr>
        <w:t> </w:t>
      </w:r>
      <w:r>
        <w:rPr>
          <w:sz w:val="20"/>
        </w:rPr>
        <w:t>announced</w:t>
      </w:r>
      <w:r>
        <w:rPr>
          <w:spacing w:val="-6"/>
          <w:sz w:val="20"/>
        </w:rPr>
        <w:t> </w:t>
      </w:r>
      <w:r>
        <w:rPr>
          <w:sz w:val="20"/>
        </w:rPr>
        <w:t>that</w:t>
      </w:r>
      <w:r>
        <w:rPr>
          <w:spacing w:val="-6"/>
          <w:sz w:val="20"/>
        </w:rPr>
        <w:t> </w:t>
      </w:r>
      <w:r>
        <w:rPr>
          <w:sz w:val="20"/>
        </w:rPr>
        <w:t>the</w:t>
      </w:r>
      <w:r>
        <w:rPr>
          <w:spacing w:val="-6"/>
          <w:sz w:val="20"/>
        </w:rPr>
        <w:t> </w:t>
      </w:r>
      <w:r>
        <w:rPr>
          <w:sz w:val="20"/>
        </w:rPr>
        <w:t>Study</w:t>
      </w:r>
      <w:r>
        <w:rPr>
          <w:spacing w:val="-5"/>
          <w:sz w:val="20"/>
        </w:rPr>
        <w:t> </w:t>
      </w:r>
      <w:r>
        <w:rPr>
          <w:sz w:val="20"/>
        </w:rPr>
        <w:t>was</w:t>
      </w:r>
      <w:r>
        <w:rPr>
          <w:spacing w:val="-7"/>
          <w:sz w:val="20"/>
        </w:rPr>
        <w:t> </w:t>
      </w:r>
      <w:r>
        <w:rPr>
          <w:sz w:val="20"/>
        </w:rPr>
        <w:t>complete,</w:t>
      </w:r>
      <w:r>
        <w:rPr>
          <w:spacing w:val="-6"/>
          <w:sz w:val="20"/>
        </w:rPr>
        <w:t> </w:t>
      </w:r>
      <w:r>
        <w:rPr>
          <w:sz w:val="20"/>
        </w:rPr>
        <w:t>and</w:t>
      </w:r>
      <w:r>
        <w:rPr>
          <w:spacing w:val="-6"/>
          <w:sz w:val="20"/>
        </w:rPr>
        <w:t> </w:t>
      </w:r>
      <w:r>
        <w:rPr>
          <w:sz w:val="20"/>
        </w:rPr>
        <w:t>that</w:t>
      </w:r>
      <w:r>
        <w:rPr>
          <w:spacing w:val="-6"/>
          <w:sz w:val="20"/>
        </w:rPr>
        <w:t> </w:t>
      </w:r>
      <w:r>
        <w:rPr>
          <w:sz w:val="20"/>
        </w:rPr>
        <w:t>GSFC had initiated the Study, but KRN had completed the Study. Attached as </w:t>
      </w:r>
      <w:r>
        <w:rPr>
          <w:b/>
          <w:sz w:val="20"/>
        </w:rPr>
        <w:t>Exhibit “HH” </w:t>
      </w:r>
      <w:r>
        <w:rPr>
          <w:sz w:val="20"/>
        </w:rPr>
        <w:t>to the FDW Affidavit is a copy of the KRN press release of November 5, 2019. Attached as </w:t>
      </w:r>
      <w:r>
        <w:rPr>
          <w:b/>
          <w:sz w:val="20"/>
        </w:rPr>
        <w:t>Exhibit “II” </w:t>
      </w:r>
      <w:r>
        <w:rPr>
          <w:sz w:val="20"/>
        </w:rPr>
        <w:t>to the FDW Affidavit is a copy of the KRN press release of July 21,</w:t>
      </w:r>
      <w:r>
        <w:rPr>
          <w:spacing w:val="-11"/>
          <w:sz w:val="20"/>
        </w:rPr>
        <w:t> </w:t>
      </w:r>
      <w:r>
        <w:rPr>
          <w:sz w:val="20"/>
        </w:rPr>
        <w:t>2020.</w:t>
      </w:r>
    </w:p>
    <w:p>
      <w:pPr>
        <w:spacing w:after="0" w:line="360" w:lineRule="auto"/>
        <w:jc w:val="both"/>
        <w:rPr>
          <w:sz w:val="20"/>
        </w:rPr>
        <w:sectPr>
          <w:pgSz w:w="12240" w:h="15840"/>
          <w:pgMar w:header="0" w:footer="1259" w:top="1220" w:bottom="1440" w:left="1320" w:right="280"/>
        </w:sectPr>
      </w:pPr>
    </w:p>
    <w:p>
      <w:pPr>
        <w:pStyle w:val="Heading1"/>
        <w:spacing w:before="75"/>
        <w:ind w:left="120" w:firstLine="0"/>
      </w:pPr>
      <w:r>
        <w:rPr/>
        <w:pict>
          <v:group style="position:absolute;margin-left:479.138pt;margin-top:731.443176pt;width:113.4pt;height:45.55pt;mso-position-horizontal-relative:page;mso-position-vertical-relative:page;z-index:251688960" coordorigin="9583,14629" coordsize="2268,911">
            <v:shape style="position:absolute;left:10987;top:14628;width:863;height:876" type="#_x0000_t75" stroked="false">
              <v:imagedata r:id="rId9" o:title=""/>
            </v:shape>
            <v:shape style="position:absolute;left:9582;top:14664;width:1381;height:876" type="#_x0000_t75" stroked="false">
              <v:imagedata r:id="rId10" o:title=""/>
            </v:shape>
            <w10:wrap type="none"/>
          </v:group>
        </w:pict>
      </w:r>
      <w:r>
        <w:rPr/>
        <w:t>Lobbying Laws</w:t>
      </w:r>
    </w:p>
    <w:p>
      <w:pPr>
        <w:pStyle w:val="BodyText"/>
        <w:spacing w:before="10"/>
        <w:rPr>
          <w:b/>
          <w:sz w:val="30"/>
        </w:rPr>
      </w:pPr>
    </w:p>
    <w:p>
      <w:pPr>
        <w:pStyle w:val="ListParagraph"/>
        <w:numPr>
          <w:ilvl w:val="0"/>
          <w:numId w:val="1"/>
        </w:numPr>
        <w:tabs>
          <w:tab w:pos="841" w:val="left" w:leader="none"/>
        </w:tabs>
        <w:spacing w:line="360" w:lineRule="auto" w:before="0" w:after="0"/>
        <w:ind w:left="839" w:right="1157" w:hanging="720"/>
        <w:jc w:val="both"/>
        <w:rPr>
          <w:sz w:val="20"/>
        </w:rPr>
      </w:pPr>
      <w:r>
        <w:rPr>
          <w:sz w:val="20"/>
        </w:rPr>
        <w:t>Varma would tell me, Rowan, and Favreau on regular occasions during 2019 about the various conversations he was having with officials in the Canadian Federal Government (the “</w:t>
      </w:r>
      <w:r>
        <w:rPr>
          <w:b/>
          <w:sz w:val="20"/>
        </w:rPr>
        <w:t>Federal Government</w:t>
      </w:r>
      <w:r>
        <w:rPr>
          <w:sz w:val="20"/>
        </w:rPr>
        <w:t>”)</w:t>
      </w:r>
      <w:r>
        <w:rPr>
          <w:spacing w:val="-17"/>
          <w:sz w:val="20"/>
        </w:rPr>
        <w:t> </w:t>
      </w:r>
      <w:r>
        <w:rPr>
          <w:sz w:val="20"/>
        </w:rPr>
        <w:t>regarding</w:t>
      </w:r>
      <w:r>
        <w:rPr>
          <w:spacing w:val="-16"/>
          <w:sz w:val="20"/>
        </w:rPr>
        <w:t> </w:t>
      </w:r>
      <w:r>
        <w:rPr>
          <w:sz w:val="20"/>
        </w:rPr>
        <w:t>obtaining</w:t>
      </w:r>
      <w:r>
        <w:rPr>
          <w:spacing w:val="-17"/>
          <w:sz w:val="20"/>
        </w:rPr>
        <w:t> </w:t>
      </w:r>
      <w:r>
        <w:rPr>
          <w:sz w:val="20"/>
        </w:rPr>
        <w:t>funding</w:t>
      </w:r>
      <w:r>
        <w:rPr>
          <w:spacing w:val="-16"/>
          <w:sz w:val="20"/>
        </w:rPr>
        <w:t> </w:t>
      </w:r>
      <w:r>
        <w:rPr>
          <w:sz w:val="20"/>
        </w:rPr>
        <w:t>for</w:t>
      </w:r>
      <w:r>
        <w:rPr>
          <w:spacing w:val="-17"/>
          <w:sz w:val="20"/>
        </w:rPr>
        <w:t> </w:t>
      </w:r>
      <w:r>
        <w:rPr>
          <w:sz w:val="20"/>
        </w:rPr>
        <w:t>the</w:t>
      </w:r>
      <w:r>
        <w:rPr>
          <w:spacing w:val="-16"/>
          <w:sz w:val="20"/>
        </w:rPr>
        <w:t> </w:t>
      </w:r>
      <w:r>
        <w:rPr>
          <w:sz w:val="20"/>
        </w:rPr>
        <w:t>50-kilometre</w:t>
      </w:r>
      <w:r>
        <w:rPr>
          <w:spacing w:val="-17"/>
          <w:sz w:val="20"/>
        </w:rPr>
        <w:t> </w:t>
      </w:r>
      <w:r>
        <w:rPr>
          <w:sz w:val="20"/>
        </w:rPr>
        <w:t>natural</w:t>
      </w:r>
      <w:r>
        <w:rPr>
          <w:spacing w:val="-16"/>
          <w:sz w:val="20"/>
        </w:rPr>
        <w:t> </w:t>
      </w:r>
      <w:r>
        <w:rPr>
          <w:sz w:val="20"/>
        </w:rPr>
        <w:t>gas</w:t>
      </w:r>
      <w:r>
        <w:rPr>
          <w:spacing w:val="-16"/>
          <w:sz w:val="20"/>
        </w:rPr>
        <w:t> </w:t>
      </w:r>
      <w:r>
        <w:rPr>
          <w:sz w:val="20"/>
        </w:rPr>
        <w:t>pipeline</w:t>
      </w:r>
      <w:r>
        <w:rPr>
          <w:spacing w:val="-16"/>
          <w:sz w:val="20"/>
        </w:rPr>
        <w:t> </w:t>
      </w:r>
      <w:r>
        <w:rPr>
          <w:sz w:val="20"/>
        </w:rPr>
        <w:t>(the</w:t>
      </w:r>
      <w:r>
        <w:rPr>
          <w:spacing w:val="-17"/>
          <w:sz w:val="20"/>
        </w:rPr>
        <w:t> </w:t>
      </w:r>
      <w:r>
        <w:rPr>
          <w:sz w:val="20"/>
        </w:rPr>
        <w:t>“</w:t>
      </w:r>
      <w:r>
        <w:rPr>
          <w:b/>
          <w:sz w:val="20"/>
        </w:rPr>
        <w:t>Pipeline</w:t>
      </w:r>
      <w:r>
        <w:rPr>
          <w:sz w:val="20"/>
        </w:rPr>
        <w:t>”) that would have to be built from Jansen, Saskatchewan to the Potash</w:t>
      </w:r>
      <w:r>
        <w:rPr>
          <w:spacing w:val="-19"/>
          <w:sz w:val="20"/>
        </w:rPr>
        <w:t> </w:t>
      </w:r>
      <w:r>
        <w:rPr>
          <w:sz w:val="20"/>
        </w:rPr>
        <w:t>Project.</w:t>
      </w:r>
    </w:p>
    <w:p>
      <w:pPr>
        <w:pStyle w:val="BodyText"/>
        <w:spacing w:before="10"/>
      </w:pPr>
    </w:p>
    <w:p>
      <w:pPr>
        <w:pStyle w:val="ListParagraph"/>
        <w:numPr>
          <w:ilvl w:val="0"/>
          <w:numId w:val="1"/>
        </w:numPr>
        <w:tabs>
          <w:tab w:pos="841" w:val="left" w:leader="none"/>
        </w:tabs>
        <w:spacing w:line="360" w:lineRule="auto" w:before="0" w:after="0"/>
        <w:ind w:left="840" w:right="1157" w:hanging="721"/>
        <w:jc w:val="both"/>
        <w:rPr>
          <w:sz w:val="20"/>
        </w:rPr>
      </w:pPr>
      <w:r>
        <w:rPr>
          <w:sz w:val="20"/>
        </w:rPr>
        <w:t>The preamble to Lobbying Act of Canada states that lobbying is a legitimate activity in Canada, and provides for a system of registration of lobbyists. Attached and marked as </w:t>
      </w:r>
      <w:r>
        <w:rPr>
          <w:b/>
          <w:sz w:val="20"/>
        </w:rPr>
        <w:t>Exhibit “CCC” </w:t>
      </w:r>
      <w:r>
        <w:rPr>
          <w:sz w:val="20"/>
        </w:rPr>
        <w:t>to the FDW Affidavit is a copy of the preamble of the Lobbying</w:t>
      </w:r>
      <w:r>
        <w:rPr>
          <w:spacing w:val="-14"/>
          <w:sz w:val="20"/>
        </w:rPr>
        <w:t> </w:t>
      </w:r>
      <w:r>
        <w:rPr>
          <w:sz w:val="20"/>
        </w:rPr>
        <w:t>Act.</w:t>
      </w:r>
    </w:p>
    <w:p>
      <w:pPr>
        <w:pStyle w:val="BodyText"/>
        <w:spacing w:before="11"/>
      </w:pPr>
    </w:p>
    <w:p>
      <w:pPr>
        <w:pStyle w:val="ListParagraph"/>
        <w:numPr>
          <w:ilvl w:val="0"/>
          <w:numId w:val="1"/>
        </w:numPr>
        <w:tabs>
          <w:tab w:pos="840" w:val="left" w:leader="none"/>
        </w:tabs>
        <w:spacing w:line="360" w:lineRule="auto" w:before="0" w:after="0"/>
        <w:ind w:left="839" w:right="1155" w:hanging="721"/>
        <w:jc w:val="both"/>
        <w:rPr>
          <w:sz w:val="20"/>
        </w:rPr>
      </w:pPr>
      <w:r>
        <w:rPr>
          <w:sz w:val="20"/>
        </w:rPr>
        <w:t>During mid 2019, KRN was, at Varma’s request, investigating Canadian federal government programs to provide funding for the</w:t>
      </w:r>
      <w:r>
        <w:rPr>
          <w:spacing w:val="-6"/>
          <w:sz w:val="20"/>
        </w:rPr>
        <w:t> </w:t>
      </w:r>
      <w:r>
        <w:rPr>
          <w:sz w:val="20"/>
        </w:rPr>
        <w:t>Pipeline.</w:t>
      </w:r>
    </w:p>
    <w:p>
      <w:pPr>
        <w:pStyle w:val="BodyText"/>
        <w:spacing w:before="10"/>
      </w:pPr>
    </w:p>
    <w:p>
      <w:pPr>
        <w:pStyle w:val="ListParagraph"/>
        <w:numPr>
          <w:ilvl w:val="0"/>
          <w:numId w:val="1"/>
        </w:numPr>
        <w:tabs>
          <w:tab w:pos="840" w:val="left" w:leader="none"/>
        </w:tabs>
        <w:spacing w:line="360" w:lineRule="auto" w:before="0" w:after="0"/>
        <w:ind w:left="839" w:right="1156" w:hanging="720"/>
        <w:jc w:val="both"/>
        <w:rPr>
          <w:sz w:val="20"/>
        </w:rPr>
      </w:pPr>
      <w:r>
        <w:rPr>
          <w:sz w:val="20"/>
        </w:rPr>
        <w:t>A potential program was identified, and management prepared the formal application (the “</w:t>
      </w:r>
      <w:r>
        <w:rPr>
          <w:b/>
          <w:sz w:val="20"/>
        </w:rPr>
        <w:t>Grant Application</w:t>
      </w:r>
      <w:r>
        <w:rPr>
          <w:sz w:val="20"/>
        </w:rPr>
        <w:t>”). Prior to submitting the Grant Application, I requested confirmation from GSFC and Varma that GSFC was registered as a lobbyist under the Lobbying Act, in order for me to sign the certification on the Grant Application that all persons required to be registered under the Lobbying Act had done</w:t>
      </w:r>
      <w:r>
        <w:rPr>
          <w:spacing w:val="-5"/>
          <w:sz w:val="20"/>
        </w:rPr>
        <w:t> </w:t>
      </w:r>
      <w:r>
        <w:rPr>
          <w:sz w:val="20"/>
        </w:rPr>
        <w:t>so.</w:t>
      </w:r>
    </w:p>
    <w:p>
      <w:pPr>
        <w:pStyle w:val="BodyText"/>
        <w:spacing w:before="10"/>
      </w:pPr>
    </w:p>
    <w:p>
      <w:pPr>
        <w:pStyle w:val="ListParagraph"/>
        <w:numPr>
          <w:ilvl w:val="0"/>
          <w:numId w:val="1"/>
        </w:numPr>
        <w:tabs>
          <w:tab w:pos="839" w:val="left" w:leader="none"/>
          <w:tab w:pos="840" w:val="left" w:leader="none"/>
        </w:tabs>
        <w:spacing w:line="240" w:lineRule="auto" w:before="0" w:after="0"/>
        <w:ind w:left="839" w:right="0" w:hanging="721"/>
        <w:jc w:val="left"/>
        <w:rPr>
          <w:sz w:val="20"/>
        </w:rPr>
      </w:pPr>
      <w:r>
        <w:rPr>
          <w:sz w:val="20"/>
        </w:rPr>
        <w:t>The Grant Application provided the following</w:t>
      </w:r>
      <w:r>
        <w:rPr>
          <w:spacing w:val="-9"/>
          <w:sz w:val="20"/>
        </w:rPr>
        <w:t> </w:t>
      </w:r>
      <w:r>
        <w:rPr>
          <w:sz w:val="20"/>
        </w:rPr>
        <w:t>certification:</w:t>
      </w:r>
    </w:p>
    <w:p>
      <w:pPr>
        <w:pStyle w:val="BodyText"/>
        <w:spacing w:before="10"/>
        <w:rPr>
          <w:sz w:val="30"/>
        </w:rPr>
      </w:pPr>
    </w:p>
    <w:p>
      <w:pPr>
        <w:spacing w:line="360" w:lineRule="auto" w:before="1"/>
        <w:ind w:left="839" w:right="1156" w:firstLine="0"/>
        <w:jc w:val="both"/>
        <w:rPr>
          <w:i/>
          <w:sz w:val="20"/>
        </w:rPr>
      </w:pPr>
      <w:r>
        <w:rPr>
          <w:sz w:val="20"/>
        </w:rPr>
        <w:t>“</w:t>
      </w:r>
      <w:r>
        <w:rPr>
          <w:i/>
          <w:sz w:val="20"/>
        </w:rPr>
        <w:t>Any</w:t>
      </w:r>
      <w:r>
        <w:rPr>
          <w:i/>
          <w:spacing w:val="-9"/>
          <w:sz w:val="20"/>
        </w:rPr>
        <w:t> </w:t>
      </w:r>
      <w:r>
        <w:rPr>
          <w:i/>
          <w:sz w:val="20"/>
        </w:rPr>
        <w:t>person</w:t>
      </w:r>
      <w:r>
        <w:rPr>
          <w:i/>
          <w:spacing w:val="-10"/>
          <w:sz w:val="20"/>
        </w:rPr>
        <w:t> </w:t>
      </w:r>
      <w:r>
        <w:rPr>
          <w:i/>
          <w:sz w:val="20"/>
        </w:rPr>
        <w:t>who</w:t>
      </w:r>
      <w:r>
        <w:rPr>
          <w:i/>
          <w:spacing w:val="-9"/>
          <w:sz w:val="20"/>
        </w:rPr>
        <w:t> </w:t>
      </w:r>
      <w:r>
        <w:rPr>
          <w:i/>
          <w:sz w:val="20"/>
        </w:rPr>
        <w:t>is</w:t>
      </w:r>
      <w:r>
        <w:rPr>
          <w:i/>
          <w:spacing w:val="-9"/>
          <w:sz w:val="20"/>
        </w:rPr>
        <w:t> </w:t>
      </w:r>
      <w:r>
        <w:rPr>
          <w:i/>
          <w:sz w:val="20"/>
        </w:rPr>
        <w:t>required</w:t>
      </w:r>
      <w:r>
        <w:rPr>
          <w:i/>
          <w:spacing w:val="-9"/>
          <w:sz w:val="20"/>
        </w:rPr>
        <w:t> </w:t>
      </w:r>
      <w:r>
        <w:rPr>
          <w:i/>
          <w:sz w:val="20"/>
        </w:rPr>
        <w:t>to</w:t>
      </w:r>
      <w:r>
        <w:rPr>
          <w:i/>
          <w:spacing w:val="-8"/>
          <w:sz w:val="20"/>
        </w:rPr>
        <w:t> </w:t>
      </w:r>
      <w:r>
        <w:rPr>
          <w:i/>
          <w:sz w:val="20"/>
        </w:rPr>
        <w:t>be</w:t>
      </w:r>
      <w:r>
        <w:rPr>
          <w:i/>
          <w:spacing w:val="-9"/>
          <w:sz w:val="20"/>
        </w:rPr>
        <w:t> </w:t>
      </w:r>
      <w:r>
        <w:rPr>
          <w:i/>
          <w:sz w:val="20"/>
        </w:rPr>
        <w:t>registered</w:t>
      </w:r>
      <w:r>
        <w:rPr>
          <w:i/>
          <w:spacing w:val="-10"/>
          <w:sz w:val="20"/>
        </w:rPr>
        <w:t> </w:t>
      </w:r>
      <w:r>
        <w:rPr>
          <w:i/>
          <w:sz w:val="20"/>
        </w:rPr>
        <w:t>pursuant</w:t>
      </w:r>
      <w:r>
        <w:rPr>
          <w:i/>
          <w:spacing w:val="-9"/>
          <w:sz w:val="20"/>
        </w:rPr>
        <w:t> </w:t>
      </w:r>
      <w:r>
        <w:rPr>
          <w:i/>
          <w:sz w:val="20"/>
        </w:rPr>
        <w:t>to</w:t>
      </w:r>
      <w:r>
        <w:rPr>
          <w:i/>
          <w:spacing w:val="-9"/>
          <w:sz w:val="20"/>
        </w:rPr>
        <w:t> </w:t>
      </w:r>
      <w:r>
        <w:rPr>
          <w:i/>
          <w:sz w:val="20"/>
        </w:rPr>
        <w:t>the</w:t>
      </w:r>
      <w:r>
        <w:rPr>
          <w:i/>
          <w:spacing w:val="-8"/>
          <w:sz w:val="20"/>
        </w:rPr>
        <w:t> </w:t>
      </w:r>
      <w:r>
        <w:rPr>
          <w:i/>
          <w:sz w:val="20"/>
        </w:rPr>
        <w:t>Lobbying</w:t>
      </w:r>
      <w:r>
        <w:rPr>
          <w:i/>
          <w:spacing w:val="-9"/>
          <w:sz w:val="20"/>
        </w:rPr>
        <w:t> </w:t>
      </w:r>
      <w:r>
        <w:rPr>
          <w:i/>
          <w:sz w:val="20"/>
        </w:rPr>
        <w:t>Act</w:t>
      </w:r>
      <w:r>
        <w:rPr>
          <w:i/>
          <w:spacing w:val="-9"/>
          <w:sz w:val="20"/>
        </w:rPr>
        <w:t> </w:t>
      </w:r>
      <w:r>
        <w:rPr>
          <w:i/>
          <w:sz w:val="20"/>
        </w:rPr>
        <w:t>including</w:t>
      </w:r>
      <w:r>
        <w:rPr>
          <w:i/>
          <w:spacing w:val="-9"/>
          <w:sz w:val="20"/>
        </w:rPr>
        <w:t> </w:t>
      </w:r>
      <w:r>
        <w:rPr>
          <w:i/>
          <w:sz w:val="20"/>
        </w:rPr>
        <w:t>consultant</w:t>
      </w:r>
      <w:r>
        <w:rPr>
          <w:i/>
          <w:spacing w:val="-11"/>
          <w:sz w:val="20"/>
        </w:rPr>
        <w:t> </w:t>
      </w:r>
      <w:r>
        <w:rPr>
          <w:i/>
          <w:sz w:val="20"/>
        </w:rPr>
        <w:t>and </w:t>
      </w:r>
      <w:r>
        <w:rPr>
          <w:i/>
          <w:sz w:val="20"/>
        </w:rPr>
        <w:t>in-house lobbyists, is registered pursuant to that Act. The failure of such person to register under the Act, or the failure of the applicant to disclose this fact to the Minister, either prior to or during the term of the proposed Agreement could result in the</w:t>
      </w:r>
      <w:r>
        <w:rPr>
          <w:i/>
          <w:spacing w:val="-13"/>
          <w:sz w:val="20"/>
        </w:rPr>
        <w:t> </w:t>
      </w:r>
      <w:r>
        <w:rPr>
          <w:i/>
          <w:sz w:val="20"/>
        </w:rPr>
        <w:t>following:</w:t>
      </w:r>
    </w:p>
    <w:p>
      <w:pPr>
        <w:pStyle w:val="ListParagraph"/>
        <w:numPr>
          <w:ilvl w:val="0"/>
          <w:numId w:val="10"/>
        </w:numPr>
        <w:tabs>
          <w:tab w:pos="1559" w:val="left" w:leader="none"/>
          <w:tab w:pos="1560" w:val="left" w:leader="none"/>
        </w:tabs>
        <w:spacing w:line="360" w:lineRule="auto" w:before="161" w:after="0"/>
        <w:ind w:left="839" w:right="1182" w:firstLine="0"/>
        <w:jc w:val="left"/>
        <w:rPr>
          <w:i/>
          <w:sz w:val="20"/>
        </w:rPr>
      </w:pPr>
      <w:r>
        <w:rPr>
          <w:i/>
          <w:sz w:val="20"/>
        </w:rPr>
        <w:t>prior to the execution of an Agreement, precludes the offering or signing of an Agreement </w:t>
      </w:r>
      <w:r>
        <w:rPr>
          <w:i/>
          <w:sz w:val="20"/>
        </w:rPr>
        <w:t>with Innovation, Science and Economic Development Canada and the Applicant's file will be closed;</w:t>
      </w:r>
    </w:p>
    <w:p>
      <w:pPr>
        <w:pStyle w:val="BodyText"/>
        <w:spacing w:before="8"/>
        <w:rPr>
          <w:i/>
        </w:rPr>
      </w:pPr>
    </w:p>
    <w:p>
      <w:pPr>
        <w:pStyle w:val="ListParagraph"/>
        <w:numPr>
          <w:ilvl w:val="0"/>
          <w:numId w:val="10"/>
        </w:numPr>
        <w:tabs>
          <w:tab w:pos="1560" w:val="left" w:leader="none"/>
        </w:tabs>
        <w:spacing w:line="360" w:lineRule="auto" w:before="0" w:after="0"/>
        <w:ind w:left="839" w:right="1156" w:firstLine="0"/>
        <w:jc w:val="both"/>
        <w:rPr>
          <w:sz w:val="20"/>
        </w:rPr>
      </w:pPr>
      <w:r>
        <w:rPr>
          <w:i/>
          <w:sz w:val="20"/>
        </w:rPr>
        <w:t>during the term of an approved Agreement, constitutes a material breach.it is registered </w:t>
      </w:r>
      <w:r>
        <w:rPr>
          <w:i/>
          <w:sz w:val="20"/>
        </w:rPr>
        <w:t>under the Lobbying Act.” </w:t>
      </w:r>
      <w:r>
        <w:rPr>
          <w:sz w:val="20"/>
        </w:rPr>
        <w:t>Attached and marked as </w:t>
      </w:r>
      <w:r>
        <w:rPr>
          <w:b/>
          <w:sz w:val="20"/>
        </w:rPr>
        <w:t>Exhibit “YY </w:t>
      </w:r>
      <w:r>
        <w:rPr>
          <w:sz w:val="20"/>
        </w:rPr>
        <w:t>to the FDW Affidavit is a copy of the certification page of the form of Grant</w:t>
      </w:r>
      <w:r>
        <w:rPr>
          <w:spacing w:val="-10"/>
          <w:sz w:val="20"/>
        </w:rPr>
        <w:t> </w:t>
      </w:r>
      <w:r>
        <w:rPr>
          <w:sz w:val="20"/>
        </w:rPr>
        <w:t>Application.</w:t>
      </w:r>
    </w:p>
    <w:p>
      <w:pPr>
        <w:pStyle w:val="BodyText"/>
        <w:spacing w:before="11"/>
      </w:pPr>
    </w:p>
    <w:p>
      <w:pPr>
        <w:pStyle w:val="ListParagraph"/>
        <w:numPr>
          <w:ilvl w:val="0"/>
          <w:numId w:val="1"/>
        </w:numPr>
        <w:tabs>
          <w:tab w:pos="840" w:val="left" w:leader="none"/>
        </w:tabs>
        <w:spacing w:line="360" w:lineRule="auto" w:before="0" w:after="0"/>
        <w:ind w:left="839" w:right="1158" w:hanging="721"/>
        <w:jc w:val="both"/>
        <w:rPr>
          <w:sz w:val="20"/>
        </w:rPr>
      </w:pPr>
      <w:r>
        <w:rPr>
          <w:sz w:val="20"/>
        </w:rPr>
        <w:t>I</w:t>
      </w:r>
      <w:r>
        <w:rPr>
          <w:spacing w:val="-7"/>
          <w:sz w:val="20"/>
        </w:rPr>
        <w:t> </w:t>
      </w:r>
      <w:r>
        <w:rPr>
          <w:sz w:val="20"/>
        </w:rPr>
        <w:t>verily</w:t>
      </w:r>
      <w:r>
        <w:rPr>
          <w:spacing w:val="-5"/>
          <w:sz w:val="20"/>
        </w:rPr>
        <w:t> </w:t>
      </w:r>
      <w:r>
        <w:rPr>
          <w:sz w:val="20"/>
        </w:rPr>
        <w:t>believe</w:t>
      </w:r>
      <w:r>
        <w:rPr>
          <w:spacing w:val="-6"/>
          <w:sz w:val="20"/>
        </w:rPr>
        <w:t> </w:t>
      </w:r>
      <w:r>
        <w:rPr>
          <w:sz w:val="20"/>
        </w:rPr>
        <w:t>that</w:t>
      </w:r>
      <w:r>
        <w:rPr>
          <w:spacing w:val="-6"/>
          <w:sz w:val="20"/>
        </w:rPr>
        <w:t> </w:t>
      </w:r>
      <w:r>
        <w:rPr>
          <w:sz w:val="20"/>
        </w:rPr>
        <w:t>based</w:t>
      </w:r>
      <w:r>
        <w:rPr>
          <w:spacing w:val="-6"/>
          <w:sz w:val="20"/>
        </w:rPr>
        <w:t> </w:t>
      </w:r>
      <w:r>
        <w:rPr>
          <w:sz w:val="20"/>
        </w:rPr>
        <w:t>on</w:t>
      </w:r>
      <w:r>
        <w:rPr>
          <w:spacing w:val="-6"/>
          <w:sz w:val="20"/>
        </w:rPr>
        <w:t> </w:t>
      </w:r>
      <w:r>
        <w:rPr>
          <w:sz w:val="20"/>
        </w:rPr>
        <w:t>a</w:t>
      </w:r>
      <w:r>
        <w:rPr>
          <w:spacing w:val="-6"/>
          <w:sz w:val="20"/>
        </w:rPr>
        <w:t> </w:t>
      </w:r>
      <w:r>
        <w:rPr>
          <w:sz w:val="20"/>
        </w:rPr>
        <w:t>search</w:t>
      </w:r>
      <w:r>
        <w:rPr>
          <w:spacing w:val="-6"/>
          <w:sz w:val="20"/>
        </w:rPr>
        <w:t> </w:t>
      </w:r>
      <w:r>
        <w:rPr>
          <w:sz w:val="20"/>
        </w:rPr>
        <w:t>of</w:t>
      </w:r>
      <w:r>
        <w:rPr>
          <w:spacing w:val="-6"/>
          <w:sz w:val="20"/>
        </w:rPr>
        <w:t> </w:t>
      </w:r>
      <w:r>
        <w:rPr>
          <w:sz w:val="20"/>
        </w:rPr>
        <w:t>the</w:t>
      </w:r>
      <w:r>
        <w:rPr>
          <w:spacing w:val="-5"/>
          <w:sz w:val="20"/>
        </w:rPr>
        <w:t> </w:t>
      </w:r>
      <w:r>
        <w:rPr>
          <w:sz w:val="20"/>
        </w:rPr>
        <w:t>website</w:t>
      </w:r>
      <w:r>
        <w:rPr>
          <w:spacing w:val="-7"/>
          <w:sz w:val="20"/>
        </w:rPr>
        <w:t> </w:t>
      </w:r>
      <w:r>
        <w:rPr>
          <w:sz w:val="20"/>
        </w:rPr>
        <w:t>(the</w:t>
      </w:r>
      <w:r>
        <w:rPr>
          <w:spacing w:val="-5"/>
          <w:sz w:val="20"/>
        </w:rPr>
        <w:t> </w:t>
      </w:r>
      <w:r>
        <w:rPr>
          <w:sz w:val="20"/>
        </w:rPr>
        <w:t>“</w:t>
      </w:r>
      <w:r>
        <w:rPr>
          <w:b/>
          <w:sz w:val="20"/>
        </w:rPr>
        <w:t>Lobbying</w:t>
      </w:r>
      <w:r>
        <w:rPr>
          <w:b/>
          <w:spacing w:val="-6"/>
          <w:sz w:val="20"/>
        </w:rPr>
        <w:t> </w:t>
      </w:r>
      <w:r>
        <w:rPr>
          <w:b/>
          <w:sz w:val="20"/>
        </w:rPr>
        <w:t>Website</w:t>
      </w:r>
      <w:r>
        <w:rPr>
          <w:sz w:val="20"/>
        </w:rPr>
        <w:t>”)</w:t>
      </w:r>
      <w:r>
        <w:rPr>
          <w:spacing w:val="-6"/>
          <w:sz w:val="20"/>
        </w:rPr>
        <w:t> </w:t>
      </w:r>
      <w:r>
        <w:rPr>
          <w:sz w:val="20"/>
        </w:rPr>
        <w:t>of</w:t>
      </w:r>
      <w:r>
        <w:rPr>
          <w:spacing w:val="-6"/>
          <w:sz w:val="20"/>
        </w:rPr>
        <w:t> </w:t>
      </w:r>
      <w:r>
        <w:rPr>
          <w:sz w:val="20"/>
        </w:rPr>
        <w:t>the</w:t>
      </w:r>
      <w:r>
        <w:rPr>
          <w:spacing w:val="-6"/>
          <w:sz w:val="20"/>
        </w:rPr>
        <w:t> </w:t>
      </w:r>
      <w:r>
        <w:rPr>
          <w:sz w:val="20"/>
        </w:rPr>
        <w:t>Office</w:t>
      </w:r>
      <w:r>
        <w:rPr>
          <w:spacing w:val="-6"/>
          <w:sz w:val="20"/>
        </w:rPr>
        <w:t> </w:t>
      </w:r>
      <w:r>
        <w:rPr>
          <w:sz w:val="20"/>
        </w:rPr>
        <w:t>of</w:t>
      </w:r>
      <w:r>
        <w:rPr>
          <w:spacing w:val="-7"/>
          <w:sz w:val="20"/>
        </w:rPr>
        <w:t> </w:t>
      </w:r>
      <w:r>
        <w:rPr>
          <w:sz w:val="20"/>
        </w:rPr>
        <w:t>the Commissioner of Lobbying of Canada, GSFC is not registered under the Lobbying Act. Attached and marked as </w:t>
      </w:r>
      <w:r>
        <w:rPr>
          <w:b/>
          <w:sz w:val="20"/>
        </w:rPr>
        <w:t>Exhibit “ZZ </w:t>
      </w:r>
      <w:r>
        <w:rPr>
          <w:sz w:val="20"/>
        </w:rPr>
        <w:t>is a copy of the search of GSFC and KRN on the Lobbying</w:t>
      </w:r>
      <w:r>
        <w:rPr>
          <w:spacing w:val="-34"/>
          <w:sz w:val="20"/>
        </w:rPr>
        <w:t> </w:t>
      </w:r>
      <w:r>
        <w:rPr>
          <w:sz w:val="20"/>
        </w:rPr>
        <w:t>Website.</w:t>
      </w:r>
    </w:p>
    <w:p>
      <w:pPr>
        <w:spacing w:after="0" w:line="360" w:lineRule="auto"/>
        <w:jc w:val="both"/>
        <w:rPr>
          <w:sz w:val="20"/>
        </w:rPr>
        <w:sectPr>
          <w:pgSz w:w="12240" w:h="15840"/>
          <w:pgMar w:header="0" w:footer="1259" w:top="1220" w:bottom="1440" w:left="1320" w:right="280"/>
        </w:sectPr>
      </w:pPr>
    </w:p>
    <w:p>
      <w:pPr>
        <w:pStyle w:val="ListParagraph"/>
        <w:numPr>
          <w:ilvl w:val="0"/>
          <w:numId w:val="1"/>
        </w:numPr>
        <w:tabs>
          <w:tab w:pos="841" w:val="left" w:leader="none"/>
        </w:tabs>
        <w:spacing w:line="360" w:lineRule="auto" w:before="75" w:after="0"/>
        <w:ind w:left="840" w:right="1155" w:hanging="721"/>
        <w:jc w:val="both"/>
        <w:rPr>
          <w:sz w:val="20"/>
        </w:rPr>
      </w:pPr>
      <w:r>
        <w:rPr/>
        <w:pict>
          <v:group style="position:absolute;margin-left:473.223999pt;margin-top:736.173889pt;width:114pt;height:46.75pt;mso-position-horizontal-relative:page;mso-position-vertical-relative:page;z-index:251689984" coordorigin="9464,14723" coordsize="2280,935">
            <v:shape style="position:absolute;left:10881;top:14782;width:863;height:876" type="#_x0000_t75" stroked="false">
              <v:imagedata r:id="rId9" o:title=""/>
            </v:shape>
            <v:shape style="position:absolute;left:9464;top:14723;width:1381;height:876" type="#_x0000_t75" stroked="false">
              <v:imagedata r:id="rId10" o:title=""/>
            </v:shape>
            <w10:wrap type="none"/>
          </v:group>
        </w:pict>
      </w:r>
      <w:r>
        <w:rPr>
          <w:sz w:val="20"/>
        </w:rPr>
        <w:t>At the August 8, 2019 KRN Board meeting, I asked Varma if GSFC was registered under the Lobbying Act, and if Varma could provide confirmation in order that I could certify the Grant Application. Varma stated at the KRN Board meeting that “</w:t>
      </w:r>
      <w:r>
        <w:rPr>
          <w:i/>
          <w:sz w:val="20"/>
        </w:rPr>
        <w:t>GSFC has a corporate policy not to </w:t>
      </w:r>
      <w:r>
        <w:rPr>
          <w:i/>
          <w:sz w:val="20"/>
        </w:rPr>
        <w:t>register as a lobbyist under the Lobbying Act</w:t>
      </w:r>
      <w:r>
        <w:rPr>
          <w:sz w:val="20"/>
        </w:rPr>
        <w:t>.” Nanavaty and Anjaria didn’t dispute Varma’s statement.</w:t>
      </w:r>
    </w:p>
    <w:p>
      <w:pPr>
        <w:pStyle w:val="BodyText"/>
        <w:spacing w:before="10"/>
      </w:pPr>
    </w:p>
    <w:p>
      <w:pPr>
        <w:pStyle w:val="ListParagraph"/>
        <w:numPr>
          <w:ilvl w:val="0"/>
          <w:numId w:val="1"/>
        </w:numPr>
        <w:tabs>
          <w:tab w:pos="841" w:val="left" w:leader="none"/>
        </w:tabs>
        <w:spacing w:line="360" w:lineRule="auto" w:before="0" w:after="0"/>
        <w:ind w:left="839" w:right="1158" w:hanging="720"/>
        <w:jc w:val="both"/>
        <w:rPr>
          <w:sz w:val="20"/>
        </w:rPr>
      </w:pPr>
      <w:r>
        <w:rPr>
          <w:sz w:val="20"/>
        </w:rPr>
        <w:t>I</w:t>
      </w:r>
      <w:r>
        <w:rPr>
          <w:spacing w:val="-8"/>
          <w:sz w:val="20"/>
        </w:rPr>
        <w:t> </w:t>
      </w:r>
      <w:r>
        <w:rPr>
          <w:sz w:val="20"/>
        </w:rPr>
        <w:t>verily</w:t>
      </w:r>
      <w:r>
        <w:rPr>
          <w:spacing w:val="-8"/>
          <w:sz w:val="20"/>
        </w:rPr>
        <w:t> </w:t>
      </w:r>
      <w:r>
        <w:rPr>
          <w:sz w:val="20"/>
        </w:rPr>
        <w:t>believe</w:t>
      </w:r>
      <w:r>
        <w:rPr>
          <w:spacing w:val="-7"/>
          <w:sz w:val="20"/>
        </w:rPr>
        <w:t> </w:t>
      </w:r>
      <w:r>
        <w:rPr>
          <w:sz w:val="20"/>
        </w:rPr>
        <w:t>Varma</w:t>
      </w:r>
      <w:r>
        <w:rPr>
          <w:spacing w:val="-8"/>
          <w:sz w:val="20"/>
        </w:rPr>
        <w:t> </w:t>
      </w:r>
      <w:r>
        <w:rPr>
          <w:sz w:val="20"/>
        </w:rPr>
        <w:t>was</w:t>
      </w:r>
      <w:r>
        <w:rPr>
          <w:spacing w:val="-8"/>
          <w:sz w:val="20"/>
        </w:rPr>
        <w:t> </w:t>
      </w:r>
      <w:r>
        <w:rPr>
          <w:sz w:val="20"/>
        </w:rPr>
        <w:t>lying,</w:t>
      </w:r>
      <w:r>
        <w:rPr>
          <w:spacing w:val="-8"/>
          <w:sz w:val="20"/>
        </w:rPr>
        <w:t> </w:t>
      </w:r>
      <w:r>
        <w:rPr>
          <w:sz w:val="20"/>
        </w:rPr>
        <w:t>as</w:t>
      </w:r>
      <w:r>
        <w:rPr>
          <w:spacing w:val="-7"/>
          <w:sz w:val="20"/>
        </w:rPr>
        <w:t> </w:t>
      </w:r>
      <w:r>
        <w:rPr>
          <w:sz w:val="20"/>
        </w:rPr>
        <w:t>I</w:t>
      </w:r>
      <w:r>
        <w:rPr>
          <w:spacing w:val="-8"/>
          <w:sz w:val="20"/>
        </w:rPr>
        <w:t> </w:t>
      </w:r>
      <w:r>
        <w:rPr>
          <w:sz w:val="20"/>
        </w:rPr>
        <w:t>verily</w:t>
      </w:r>
      <w:r>
        <w:rPr>
          <w:spacing w:val="-7"/>
          <w:sz w:val="20"/>
        </w:rPr>
        <w:t> </w:t>
      </w:r>
      <w:r>
        <w:rPr>
          <w:sz w:val="20"/>
        </w:rPr>
        <w:t>believe</w:t>
      </w:r>
      <w:r>
        <w:rPr>
          <w:spacing w:val="-8"/>
          <w:sz w:val="20"/>
        </w:rPr>
        <w:t> </w:t>
      </w:r>
      <w:r>
        <w:rPr>
          <w:sz w:val="20"/>
        </w:rPr>
        <w:t>that</w:t>
      </w:r>
      <w:r>
        <w:rPr>
          <w:spacing w:val="-8"/>
          <w:sz w:val="20"/>
        </w:rPr>
        <w:t> </w:t>
      </w:r>
      <w:r>
        <w:rPr>
          <w:sz w:val="20"/>
        </w:rPr>
        <w:t>an</w:t>
      </w:r>
      <w:r>
        <w:rPr>
          <w:spacing w:val="-8"/>
          <w:sz w:val="20"/>
        </w:rPr>
        <w:t> </w:t>
      </w:r>
      <w:r>
        <w:rPr>
          <w:sz w:val="20"/>
        </w:rPr>
        <w:t>Indian</w:t>
      </w:r>
      <w:r>
        <w:rPr>
          <w:spacing w:val="-8"/>
          <w:sz w:val="20"/>
        </w:rPr>
        <w:t> </w:t>
      </w:r>
      <w:r>
        <w:rPr>
          <w:sz w:val="20"/>
        </w:rPr>
        <w:t>public</w:t>
      </w:r>
      <w:r>
        <w:rPr>
          <w:spacing w:val="-7"/>
          <w:sz w:val="20"/>
        </w:rPr>
        <w:t> </w:t>
      </w:r>
      <w:r>
        <w:rPr>
          <w:sz w:val="20"/>
        </w:rPr>
        <w:t>company</w:t>
      </w:r>
      <w:r>
        <w:rPr>
          <w:spacing w:val="-7"/>
          <w:sz w:val="20"/>
        </w:rPr>
        <w:t> </w:t>
      </w:r>
      <w:r>
        <w:rPr>
          <w:sz w:val="20"/>
        </w:rPr>
        <w:t>listed</w:t>
      </w:r>
      <w:r>
        <w:rPr>
          <w:spacing w:val="-8"/>
          <w:sz w:val="20"/>
        </w:rPr>
        <w:t> </w:t>
      </w:r>
      <w:r>
        <w:rPr>
          <w:sz w:val="20"/>
        </w:rPr>
        <w:t>on</w:t>
      </w:r>
      <w:r>
        <w:rPr>
          <w:spacing w:val="-8"/>
          <w:sz w:val="20"/>
        </w:rPr>
        <w:t> </w:t>
      </w:r>
      <w:r>
        <w:rPr>
          <w:sz w:val="20"/>
        </w:rPr>
        <w:t>the</w:t>
      </w:r>
      <w:r>
        <w:rPr>
          <w:spacing w:val="-8"/>
          <w:sz w:val="20"/>
        </w:rPr>
        <w:t> </w:t>
      </w:r>
      <w:r>
        <w:rPr>
          <w:sz w:val="20"/>
        </w:rPr>
        <w:t>BSE Exchange in India, as GSFC is, would not have a corporate policy that provides that it will not comply with the laws of a foreign country such as</w:t>
      </w:r>
      <w:r>
        <w:rPr>
          <w:spacing w:val="-9"/>
          <w:sz w:val="20"/>
        </w:rPr>
        <w:t> </w:t>
      </w:r>
      <w:r>
        <w:rPr>
          <w:sz w:val="20"/>
        </w:rPr>
        <w:t>Canada.</w:t>
      </w:r>
    </w:p>
    <w:p>
      <w:pPr>
        <w:pStyle w:val="BodyText"/>
        <w:spacing w:before="11"/>
      </w:pPr>
    </w:p>
    <w:p>
      <w:pPr>
        <w:pStyle w:val="ListParagraph"/>
        <w:numPr>
          <w:ilvl w:val="0"/>
          <w:numId w:val="1"/>
        </w:numPr>
        <w:tabs>
          <w:tab w:pos="839" w:val="left" w:leader="none"/>
          <w:tab w:pos="841" w:val="left" w:leader="none"/>
        </w:tabs>
        <w:spacing w:line="240" w:lineRule="auto" w:before="0" w:after="0"/>
        <w:ind w:left="840" w:right="0" w:hanging="721"/>
        <w:jc w:val="left"/>
        <w:rPr>
          <w:sz w:val="20"/>
        </w:rPr>
      </w:pPr>
      <w:r>
        <w:rPr>
          <w:sz w:val="20"/>
        </w:rPr>
        <w:t>I did not sign the</w:t>
      </w:r>
      <w:r>
        <w:rPr>
          <w:spacing w:val="-8"/>
          <w:sz w:val="20"/>
        </w:rPr>
        <w:t> </w:t>
      </w:r>
      <w:r>
        <w:rPr>
          <w:sz w:val="20"/>
        </w:rPr>
        <w:t>application.</w:t>
      </w:r>
    </w:p>
    <w:p>
      <w:pPr>
        <w:pStyle w:val="BodyText"/>
        <w:spacing w:before="9"/>
        <w:rPr>
          <w:sz w:val="30"/>
        </w:rPr>
      </w:pPr>
    </w:p>
    <w:p>
      <w:pPr>
        <w:pStyle w:val="Heading1"/>
        <w:ind w:left="119" w:firstLine="0"/>
      </w:pPr>
      <w:r>
        <w:rPr/>
        <w:t>Concerned Shareholders’ Actions</w:t>
      </w:r>
    </w:p>
    <w:p>
      <w:pPr>
        <w:pStyle w:val="BodyText"/>
        <w:spacing w:before="10"/>
        <w:rPr>
          <w:b/>
          <w:sz w:val="30"/>
        </w:rPr>
      </w:pPr>
    </w:p>
    <w:p>
      <w:pPr>
        <w:pStyle w:val="ListParagraph"/>
        <w:numPr>
          <w:ilvl w:val="0"/>
          <w:numId w:val="11"/>
        </w:numPr>
        <w:tabs>
          <w:tab w:pos="839" w:val="left" w:leader="none"/>
          <w:tab w:pos="841" w:val="left" w:leader="none"/>
        </w:tabs>
        <w:spacing w:line="240" w:lineRule="auto" w:before="1" w:after="0"/>
        <w:ind w:left="840" w:right="0" w:hanging="721"/>
        <w:jc w:val="left"/>
        <w:rPr>
          <w:b/>
          <w:sz w:val="20"/>
        </w:rPr>
      </w:pPr>
      <w:r>
        <w:rPr>
          <w:b/>
          <w:sz w:val="20"/>
          <w:u w:val="thick"/>
        </w:rPr>
        <w:t>Requisition of Special</w:t>
      </w:r>
      <w:r>
        <w:rPr>
          <w:b/>
          <w:spacing w:val="-3"/>
          <w:sz w:val="20"/>
          <w:u w:val="thick"/>
        </w:rPr>
        <w:t> </w:t>
      </w:r>
      <w:r>
        <w:rPr>
          <w:b/>
          <w:sz w:val="20"/>
          <w:u w:val="thick"/>
        </w:rPr>
        <w:t>Meeting</w:t>
      </w:r>
    </w:p>
    <w:p>
      <w:pPr>
        <w:pStyle w:val="BodyText"/>
        <w:spacing w:before="7"/>
        <w:rPr>
          <w:b/>
          <w:sz w:val="22"/>
        </w:rPr>
      </w:pPr>
    </w:p>
    <w:p>
      <w:pPr>
        <w:pStyle w:val="ListParagraph"/>
        <w:numPr>
          <w:ilvl w:val="0"/>
          <w:numId w:val="1"/>
        </w:numPr>
        <w:tabs>
          <w:tab w:pos="841" w:val="left" w:leader="none"/>
        </w:tabs>
        <w:spacing w:line="360" w:lineRule="auto" w:before="94" w:after="0"/>
        <w:ind w:left="839" w:right="1156" w:hanging="720"/>
        <w:jc w:val="both"/>
        <w:rPr>
          <w:sz w:val="20"/>
        </w:rPr>
      </w:pPr>
      <w:r>
        <w:rPr>
          <w:sz w:val="20"/>
        </w:rPr>
        <w:t>On July 7, 2020, Matson, Szabo and Zachanowich (the “</w:t>
      </w:r>
      <w:r>
        <w:rPr>
          <w:b/>
          <w:sz w:val="20"/>
        </w:rPr>
        <w:t>Concerned Shareholders</w:t>
      </w:r>
      <w:r>
        <w:rPr>
          <w:sz w:val="20"/>
        </w:rPr>
        <w:t>”) sent a requisition (the “</w:t>
      </w:r>
      <w:r>
        <w:rPr>
          <w:b/>
          <w:sz w:val="20"/>
        </w:rPr>
        <w:t>Requisition</w:t>
      </w:r>
      <w:r>
        <w:rPr>
          <w:sz w:val="20"/>
        </w:rPr>
        <w:t>”) to KRN for the Special Meeting to replace the entire KRN Board. On July 27, 2020, KRN issued a notice (the “</w:t>
      </w:r>
      <w:r>
        <w:rPr>
          <w:b/>
          <w:sz w:val="20"/>
        </w:rPr>
        <w:t>Notice of Special Meeting</w:t>
      </w:r>
      <w:r>
        <w:rPr>
          <w:sz w:val="20"/>
        </w:rPr>
        <w:t>”) calling the Special Meeting to be held on December 15, 2020. Attached and marked as </w:t>
      </w:r>
      <w:r>
        <w:rPr>
          <w:b/>
          <w:sz w:val="20"/>
        </w:rPr>
        <w:t>Exhibit “JJ” </w:t>
      </w:r>
      <w:r>
        <w:rPr>
          <w:sz w:val="20"/>
        </w:rPr>
        <w:t>to the FDW Affidavit</w:t>
      </w:r>
      <w:r>
        <w:rPr>
          <w:spacing w:val="-7"/>
          <w:sz w:val="20"/>
        </w:rPr>
        <w:t> </w:t>
      </w:r>
      <w:r>
        <w:rPr>
          <w:sz w:val="20"/>
        </w:rPr>
        <w:t>is</w:t>
      </w:r>
      <w:r>
        <w:rPr>
          <w:spacing w:val="-5"/>
          <w:sz w:val="20"/>
        </w:rPr>
        <w:t> </w:t>
      </w:r>
      <w:r>
        <w:rPr>
          <w:sz w:val="20"/>
        </w:rPr>
        <w:t>a</w:t>
      </w:r>
      <w:r>
        <w:rPr>
          <w:spacing w:val="-5"/>
          <w:sz w:val="20"/>
        </w:rPr>
        <w:t> </w:t>
      </w:r>
      <w:r>
        <w:rPr>
          <w:sz w:val="20"/>
        </w:rPr>
        <w:t>copy</w:t>
      </w:r>
      <w:r>
        <w:rPr>
          <w:spacing w:val="-5"/>
          <w:sz w:val="20"/>
        </w:rPr>
        <w:t> </w:t>
      </w:r>
      <w:r>
        <w:rPr>
          <w:sz w:val="20"/>
        </w:rPr>
        <w:t>of</w:t>
      </w:r>
      <w:r>
        <w:rPr>
          <w:spacing w:val="-6"/>
          <w:sz w:val="20"/>
        </w:rPr>
        <w:t> </w:t>
      </w:r>
      <w:r>
        <w:rPr>
          <w:sz w:val="20"/>
        </w:rPr>
        <w:t>the</w:t>
      </w:r>
      <w:r>
        <w:rPr>
          <w:spacing w:val="-5"/>
          <w:sz w:val="20"/>
        </w:rPr>
        <w:t> </w:t>
      </w:r>
      <w:r>
        <w:rPr>
          <w:sz w:val="20"/>
        </w:rPr>
        <w:t>KRN</w:t>
      </w:r>
      <w:r>
        <w:rPr>
          <w:spacing w:val="-5"/>
          <w:sz w:val="20"/>
        </w:rPr>
        <w:t> </w:t>
      </w:r>
      <w:r>
        <w:rPr>
          <w:sz w:val="20"/>
        </w:rPr>
        <w:t>press</w:t>
      </w:r>
      <w:r>
        <w:rPr>
          <w:spacing w:val="-5"/>
          <w:sz w:val="20"/>
        </w:rPr>
        <w:t> </w:t>
      </w:r>
      <w:r>
        <w:rPr>
          <w:sz w:val="20"/>
        </w:rPr>
        <w:t>release</w:t>
      </w:r>
      <w:r>
        <w:rPr>
          <w:spacing w:val="-5"/>
          <w:sz w:val="20"/>
        </w:rPr>
        <w:t> </w:t>
      </w:r>
      <w:r>
        <w:rPr>
          <w:sz w:val="20"/>
        </w:rPr>
        <w:t>of</w:t>
      </w:r>
      <w:r>
        <w:rPr>
          <w:spacing w:val="-6"/>
          <w:sz w:val="20"/>
        </w:rPr>
        <w:t> </w:t>
      </w:r>
      <w:r>
        <w:rPr>
          <w:sz w:val="20"/>
        </w:rPr>
        <w:t>July</w:t>
      </w:r>
      <w:r>
        <w:rPr>
          <w:spacing w:val="-5"/>
          <w:sz w:val="20"/>
        </w:rPr>
        <w:t> </w:t>
      </w:r>
      <w:r>
        <w:rPr>
          <w:sz w:val="20"/>
        </w:rPr>
        <w:t>27,</w:t>
      </w:r>
      <w:r>
        <w:rPr>
          <w:spacing w:val="-7"/>
          <w:sz w:val="20"/>
        </w:rPr>
        <w:t> </w:t>
      </w:r>
      <w:r>
        <w:rPr>
          <w:sz w:val="20"/>
        </w:rPr>
        <w:t>2020</w:t>
      </w:r>
      <w:r>
        <w:rPr>
          <w:spacing w:val="-6"/>
          <w:sz w:val="20"/>
        </w:rPr>
        <w:t> </w:t>
      </w:r>
      <w:r>
        <w:rPr>
          <w:sz w:val="20"/>
        </w:rPr>
        <w:t>calling</w:t>
      </w:r>
      <w:r>
        <w:rPr>
          <w:spacing w:val="-5"/>
          <w:sz w:val="20"/>
        </w:rPr>
        <w:t> </w:t>
      </w:r>
      <w:r>
        <w:rPr>
          <w:sz w:val="20"/>
        </w:rPr>
        <w:t>the</w:t>
      </w:r>
      <w:r>
        <w:rPr>
          <w:spacing w:val="-5"/>
          <w:sz w:val="20"/>
        </w:rPr>
        <w:t> </w:t>
      </w:r>
      <w:r>
        <w:rPr>
          <w:sz w:val="20"/>
        </w:rPr>
        <w:t>Special</w:t>
      </w:r>
      <w:r>
        <w:rPr>
          <w:spacing w:val="-6"/>
          <w:sz w:val="20"/>
        </w:rPr>
        <w:t> </w:t>
      </w:r>
      <w:r>
        <w:rPr>
          <w:sz w:val="20"/>
        </w:rPr>
        <w:t>Meeting.</w:t>
      </w:r>
      <w:r>
        <w:rPr>
          <w:spacing w:val="44"/>
          <w:sz w:val="20"/>
        </w:rPr>
        <w:t> </w:t>
      </w:r>
      <w:r>
        <w:rPr>
          <w:sz w:val="20"/>
        </w:rPr>
        <w:t>Attached and marked as </w:t>
      </w:r>
      <w:r>
        <w:rPr>
          <w:b/>
          <w:sz w:val="20"/>
        </w:rPr>
        <w:t>Exhibit “KK” </w:t>
      </w:r>
      <w:r>
        <w:rPr>
          <w:sz w:val="20"/>
        </w:rPr>
        <w:t>to the FDW Affidavit is a copy of the Requisition. Attached and marked as </w:t>
      </w:r>
      <w:r>
        <w:rPr>
          <w:b/>
          <w:sz w:val="20"/>
        </w:rPr>
        <w:t>Exhibit “LL” </w:t>
      </w:r>
      <w:r>
        <w:rPr>
          <w:sz w:val="20"/>
        </w:rPr>
        <w:t>to the FDW Affidavit is a copy of the Notice of Special</w:t>
      </w:r>
      <w:r>
        <w:rPr>
          <w:spacing w:val="-21"/>
          <w:sz w:val="20"/>
        </w:rPr>
        <w:t> </w:t>
      </w:r>
      <w:r>
        <w:rPr>
          <w:sz w:val="20"/>
        </w:rPr>
        <w:t>Meeting.</w:t>
      </w:r>
    </w:p>
    <w:p>
      <w:pPr>
        <w:pStyle w:val="BodyText"/>
        <w:spacing w:before="11"/>
      </w:pPr>
    </w:p>
    <w:p>
      <w:pPr>
        <w:pStyle w:val="Heading1"/>
        <w:numPr>
          <w:ilvl w:val="0"/>
          <w:numId w:val="11"/>
        </w:numPr>
        <w:tabs>
          <w:tab w:pos="839" w:val="left" w:leader="none"/>
          <w:tab w:pos="841" w:val="left" w:leader="none"/>
        </w:tabs>
        <w:spacing w:line="240" w:lineRule="auto" w:before="0" w:after="0"/>
        <w:ind w:left="840" w:right="0" w:hanging="721"/>
        <w:jc w:val="left"/>
      </w:pPr>
      <w:r>
        <w:rPr>
          <w:u w:val="thick"/>
        </w:rPr>
        <w:t>Press Releases and</w:t>
      </w:r>
      <w:r>
        <w:rPr>
          <w:spacing w:val="-4"/>
          <w:u w:val="thick"/>
        </w:rPr>
        <w:t> </w:t>
      </w:r>
      <w:r>
        <w:rPr>
          <w:u w:val="thick"/>
        </w:rPr>
        <w:t>Letters</w:t>
      </w:r>
    </w:p>
    <w:p>
      <w:pPr>
        <w:pStyle w:val="BodyText"/>
        <w:spacing w:before="7"/>
        <w:rPr>
          <w:b/>
          <w:sz w:val="22"/>
        </w:rPr>
      </w:pPr>
    </w:p>
    <w:p>
      <w:pPr>
        <w:pStyle w:val="ListParagraph"/>
        <w:numPr>
          <w:ilvl w:val="0"/>
          <w:numId w:val="1"/>
        </w:numPr>
        <w:tabs>
          <w:tab w:pos="841" w:val="left" w:leader="none"/>
        </w:tabs>
        <w:spacing w:line="360" w:lineRule="auto" w:before="94" w:after="0"/>
        <w:ind w:left="840" w:right="1155" w:hanging="721"/>
        <w:jc w:val="both"/>
        <w:rPr>
          <w:sz w:val="20"/>
        </w:rPr>
      </w:pPr>
      <w:r>
        <w:rPr>
          <w:sz w:val="20"/>
        </w:rPr>
        <w:t>The</w:t>
      </w:r>
      <w:r>
        <w:rPr>
          <w:spacing w:val="-9"/>
          <w:sz w:val="20"/>
        </w:rPr>
        <w:t> </w:t>
      </w:r>
      <w:r>
        <w:rPr>
          <w:sz w:val="20"/>
        </w:rPr>
        <w:t>Concerned</w:t>
      </w:r>
      <w:r>
        <w:rPr>
          <w:spacing w:val="-8"/>
          <w:sz w:val="20"/>
        </w:rPr>
        <w:t> </w:t>
      </w:r>
      <w:r>
        <w:rPr>
          <w:sz w:val="20"/>
        </w:rPr>
        <w:t>Shareholders</w:t>
      </w:r>
      <w:r>
        <w:rPr>
          <w:spacing w:val="-7"/>
          <w:sz w:val="20"/>
        </w:rPr>
        <w:t> </w:t>
      </w:r>
      <w:r>
        <w:rPr>
          <w:sz w:val="20"/>
        </w:rPr>
        <w:t>issued</w:t>
      </w:r>
      <w:r>
        <w:rPr>
          <w:spacing w:val="-8"/>
          <w:sz w:val="20"/>
        </w:rPr>
        <w:t> </w:t>
      </w:r>
      <w:r>
        <w:rPr>
          <w:sz w:val="20"/>
        </w:rPr>
        <w:t>a</w:t>
      </w:r>
      <w:r>
        <w:rPr>
          <w:spacing w:val="-9"/>
          <w:sz w:val="20"/>
        </w:rPr>
        <w:t> </w:t>
      </w:r>
      <w:r>
        <w:rPr>
          <w:sz w:val="20"/>
        </w:rPr>
        <w:t>series</w:t>
      </w:r>
      <w:r>
        <w:rPr>
          <w:spacing w:val="-7"/>
          <w:sz w:val="20"/>
        </w:rPr>
        <w:t> </w:t>
      </w:r>
      <w:r>
        <w:rPr>
          <w:sz w:val="20"/>
        </w:rPr>
        <w:t>of</w:t>
      </w:r>
      <w:r>
        <w:rPr>
          <w:spacing w:val="-8"/>
          <w:sz w:val="20"/>
        </w:rPr>
        <w:t> </w:t>
      </w:r>
      <w:r>
        <w:rPr>
          <w:sz w:val="20"/>
        </w:rPr>
        <w:t>press</w:t>
      </w:r>
      <w:r>
        <w:rPr>
          <w:spacing w:val="-8"/>
          <w:sz w:val="20"/>
        </w:rPr>
        <w:t> </w:t>
      </w:r>
      <w:r>
        <w:rPr>
          <w:sz w:val="20"/>
        </w:rPr>
        <w:t>releases</w:t>
      </w:r>
      <w:r>
        <w:rPr>
          <w:spacing w:val="-8"/>
          <w:sz w:val="20"/>
        </w:rPr>
        <w:t> </w:t>
      </w:r>
      <w:r>
        <w:rPr>
          <w:sz w:val="20"/>
        </w:rPr>
        <w:t>from</w:t>
      </w:r>
      <w:r>
        <w:rPr>
          <w:spacing w:val="-8"/>
          <w:sz w:val="20"/>
        </w:rPr>
        <w:t> </w:t>
      </w:r>
      <w:r>
        <w:rPr>
          <w:sz w:val="20"/>
        </w:rPr>
        <w:t>July</w:t>
      </w:r>
      <w:r>
        <w:rPr>
          <w:spacing w:val="-7"/>
          <w:sz w:val="20"/>
        </w:rPr>
        <w:t> </w:t>
      </w:r>
      <w:r>
        <w:rPr>
          <w:sz w:val="20"/>
        </w:rPr>
        <w:t>2020</w:t>
      </w:r>
      <w:r>
        <w:rPr>
          <w:spacing w:val="-8"/>
          <w:sz w:val="20"/>
        </w:rPr>
        <w:t> </w:t>
      </w:r>
      <w:r>
        <w:rPr>
          <w:sz w:val="20"/>
        </w:rPr>
        <w:t>to</w:t>
      </w:r>
      <w:r>
        <w:rPr>
          <w:spacing w:val="-9"/>
          <w:sz w:val="20"/>
        </w:rPr>
        <w:t> </w:t>
      </w:r>
      <w:r>
        <w:rPr>
          <w:sz w:val="20"/>
        </w:rPr>
        <w:t>December</w:t>
      </w:r>
      <w:r>
        <w:rPr>
          <w:spacing w:val="-7"/>
          <w:sz w:val="20"/>
        </w:rPr>
        <w:t> </w:t>
      </w:r>
      <w:r>
        <w:rPr>
          <w:sz w:val="20"/>
        </w:rPr>
        <w:t>2020, copies of which were filed on SEDAR. The Concerned Shareholders provided me with copies of letters</w:t>
      </w:r>
      <w:r>
        <w:rPr>
          <w:spacing w:val="-11"/>
          <w:sz w:val="20"/>
        </w:rPr>
        <w:t> </w:t>
      </w:r>
      <w:r>
        <w:rPr>
          <w:sz w:val="20"/>
        </w:rPr>
        <w:t>they</w:t>
      </w:r>
      <w:r>
        <w:rPr>
          <w:spacing w:val="-11"/>
          <w:sz w:val="20"/>
        </w:rPr>
        <w:t> </w:t>
      </w:r>
      <w:r>
        <w:rPr>
          <w:sz w:val="20"/>
        </w:rPr>
        <w:t>wrote</w:t>
      </w:r>
      <w:r>
        <w:rPr>
          <w:spacing w:val="-11"/>
          <w:sz w:val="20"/>
        </w:rPr>
        <w:t> </w:t>
      </w:r>
      <w:r>
        <w:rPr>
          <w:sz w:val="20"/>
        </w:rPr>
        <w:t>to</w:t>
      </w:r>
      <w:r>
        <w:rPr>
          <w:spacing w:val="-11"/>
          <w:sz w:val="20"/>
        </w:rPr>
        <w:t> </w:t>
      </w:r>
      <w:r>
        <w:rPr>
          <w:sz w:val="20"/>
        </w:rPr>
        <w:t>the</w:t>
      </w:r>
      <w:r>
        <w:rPr>
          <w:spacing w:val="-11"/>
          <w:sz w:val="20"/>
        </w:rPr>
        <w:t> </w:t>
      </w:r>
      <w:r>
        <w:rPr>
          <w:sz w:val="20"/>
        </w:rPr>
        <w:t>TSX</w:t>
      </w:r>
      <w:r>
        <w:rPr>
          <w:spacing w:val="-12"/>
          <w:sz w:val="20"/>
        </w:rPr>
        <w:t> </w:t>
      </w:r>
      <w:r>
        <w:rPr>
          <w:sz w:val="20"/>
        </w:rPr>
        <w:t>and</w:t>
      </w:r>
      <w:r>
        <w:rPr>
          <w:spacing w:val="-10"/>
          <w:sz w:val="20"/>
        </w:rPr>
        <w:t> </w:t>
      </w:r>
      <w:r>
        <w:rPr>
          <w:sz w:val="20"/>
        </w:rPr>
        <w:t>to</w:t>
      </w:r>
      <w:r>
        <w:rPr>
          <w:spacing w:val="-10"/>
          <w:sz w:val="20"/>
        </w:rPr>
        <w:t> </w:t>
      </w:r>
      <w:r>
        <w:rPr>
          <w:sz w:val="20"/>
        </w:rPr>
        <w:t>the</w:t>
      </w:r>
      <w:r>
        <w:rPr>
          <w:spacing w:val="-10"/>
          <w:sz w:val="20"/>
        </w:rPr>
        <w:t> </w:t>
      </w:r>
      <w:r>
        <w:rPr>
          <w:sz w:val="20"/>
        </w:rPr>
        <w:t>GSFC</w:t>
      </w:r>
      <w:r>
        <w:rPr>
          <w:spacing w:val="-11"/>
          <w:sz w:val="20"/>
        </w:rPr>
        <w:t> </w:t>
      </w:r>
      <w:r>
        <w:rPr>
          <w:sz w:val="20"/>
        </w:rPr>
        <w:t>MD.</w:t>
      </w:r>
      <w:r>
        <w:rPr>
          <w:spacing w:val="33"/>
          <w:sz w:val="20"/>
        </w:rPr>
        <w:t> </w:t>
      </w:r>
      <w:r>
        <w:rPr>
          <w:sz w:val="20"/>
        </w:rPr>
        <w:t>Attached</w:t>
      </w:r>
      <w:r>
        <w:rPr>
          <w:spacing w:val="-11"/>
          <w:sz w:val="20"/>
        </w:rPr>
        <w:t> </w:t>
      </w:r>
      <w:r>
        <w:rPr>
          <w:sz w:val="20"/>
        </w:rPr>
        <w:t>as</w:t>
      </w:r>
      <w:r>
        <w:rPr>
          <w:spacing w:val="-12"/>
          <w:sz w:val="20"/>
        </w:rPr>
        <w:t> </w:t>
      </w:r>
      <w:r>
        <w:rPr>
          <w:b/>
          <w:sz w:val="20"/>
        </w:rPr>
        <w:t>Exhibit</w:t>
      </w:r>
      <w:r>
        <w:rPr>
          <w:b/>
          <w:spacing w:val="-11"/>
          <w:sz w:val="20"/>
        </w:rPr>
        <w:t> </w:t>
      </w:r>
      <w:r>
        <w:rPr>
          <w:b/>
          <w:sz w:val="20"/>
        </w:rPr>
        <w:t>“MM”</w:t>
      </w:r>
      <w:r>
        <w:rPr>
          <w:b/>
          <w:spacing w:val="-10"/>
          <w:sz w:val="20"/>
        </w:rPr>
        <w:t> </w:t>
      </w:r>
      <w:r>
        <w:rPr>
          <w:sz w:val="20"/>
        </w:rPr>
        <w:t>to</w:t>
      </w:r>
      <w:r>
        <w:rPr>
          <w:spacing w:val="-12"/>
          <w:sz w:val="20"/>
        </w:rPr>
        <w:t> </w:t>
      </w:r>
      <w:r>
        <w:rPr>
          <w:sz w:val="20"/>
        </w:rPr>
        <w:t>the</w:t>
      </w:r>
      <w:r>
        <w:rPr>
          <w:spacing w:val="-11"/>
          <w:sz w:val="20"/>
        </w:rPr>
        <w:t> </w:t>
      </w:r>
      <w:r>
        <w:rPr>
          <w:sz w:val="20"/>
        </w:rPr>
        <w:t>FDW</w:t>
      </w:r>
      <w:r>
        <w:rPr>
          <w:spacing w:val="-11"/>
          <w:sz w:val="20"/>
        </w:rPr>
        <w:t> </w:t>
      </w:r>
      <w:r>
        <w:rPr>
          <w:sz w:val="20"/>
        </w:rPr>
        <w:t>Affidavit are copies of the press releases issued by the Concerned Shareholders and filed on SEDAR. Attached as </w:t>
      </w:r>
      <w:r>
        <w:rPr>
          <w:b/>
          <w:sz w:val="20"/>
        </w:rPr>
        <w:t>Exhibit “PP” </w:t>
      </w:r>
      <w:r>
        <w:rPr>
          <w:sz w:val="20"/>
        </w:rPr>
        <w:t>to the FDW Affidavit are copies of the letters of the Concerned Shareholders to the TSX. Attached as </w:t>
      </w:r>
      <w:r>
        <w:rPr>
          <w:b/>
          <w:sz w:val="20"/>
        </w:rPr>
        <w:t>Exhibit “QQ” </w:t>
      </w:r>
      <w:r>
        <w:rPr>
          <w:sz w:val="20"/>
        </w:rPr>
        <w:t>to the FDW Affidavit are copies of the letters of the Concerned Shareholders to the GSFC</w:t>
      </w:r>
      <w:r>
        <w:rPr>
          <w:spacing w:val="-6"/>
          <w:sz w:val="20"/>
        </w:rPr>
        <w:t> </w:t>
      </w:r>
      <w:r>
        <w:rPr>
          <w:sz w:val="20"/>
        </w:rPr>
        <w:t>MD.</w:t>
      </w:r>
    </w:p>
    <w:p>
      <w:pPr>
        <w:pStyle w:val="BodyText"/>
        <w:spacing w:before="10"/>
      </w:pPr>
    </w:p>
    <w:p>
      <w:pPr>
        <w:pStyle w:val="Heading1"/>
        <w:numPr>
          <w:ilvl w:val="0"/>
          <w:numId w:val="11"/>
        </w:numPr>
        <w:tabs>
          <w:tab w:pos="839" w:val="left" w:leader="none"/>
          <w:tab w:pos="841" w:val="left" w:leader="none"/>
        </w:tabs>
        <w:spacing w:line="240" w:lineRule="auto" w:before="0" w:after="0"/>
        <w:ind w:left="840" w:right="0" w:hanging="721"/>
        <w:jc w:val="left"/>
      </w:pPr>
      <w:r>
        <w:rPr>
          <w:u w:val="thick"/>
        </w:rPr>
        <w:t>Demand for an Independent</w:t>
      </w:r>
      <w:r>
        <w:rPr>
          <w:spacing w:val="-6"/>
          <w:u w:val="thick"/>
        </w:rPr>
        <w:t> </w:t>
      </w:r>
      <w:r>
        <w:rPr>
          <w:u w:val="thick"/>
        </w:rPr>
        <w:t>Investigation</w:t>
      </w:r>
    </w:p>
    <w:p>
      <w:pPr>
        <w:pStyle w:val="BodyText"/>
        <w:spacing w:before="9"/>
        <w:rPr>
          <w:b/>
          <w:sz w:val="22"/>
        </w:rPr>
      </w:pPr>
    </w:p>
    <w:p>
      <w:pPr>
        <w:pStyle w:val="ListParagraph"/>
        <w:numPr>
          <w:ilvl w:val="0"/>
          <w:numId w:val="1"/>
        </w:numPr>
        <w:tabs>
          <w:tab w:pos="841" w:val="left" w:leader="none"/>
        </w:tabs>
        <w:spacing w:line="360" w:lineRule="auto" w:before="94" w:after="0"/>
        <w:ind w:left="839" w:right="1156" w:hanging="720"/>
        <w:jc w:val="both"/>
        <w:rPr>
          <w:sz w:val="20"/>
        </w:rPr>
      </w:pPr>
      <w:r>
        <w:rPr>
          <w:sz w:val="20"/>
        </w:rPr>
        <w:t>In September 2020, the Concerned Shareholders demanded an independent investigation into their concerns. The Concerned Shareholders provided a submission to MLT Aikins in connection with their demand. On October 26, 2020, KRN issued a press release indicating an investigation was completed, and the entire KRN Board and management were completely</w:t>
      </w:r>
      <w:r>
        <w:rPr>
          <w:spacing w:val="36"/>
          <w:sz w:val="20"/>
        </w:rPr>
        <w:t> </w:t>
      </w:r>
      <w:r>
        <w:rPr>
          <w:sz w:val="20"/>
        </w:rPr>
        <w:t>exonerated.</w:t>
      </w:r>
    </w:p>
    <w:p>
      <w:pPr>
        <w:spacing w:after="0" w:line="360" w:lineRule="auto"/>
        <w:jc w:val="both"/>
        <w:rPr>
          <w:sz w:val="20"/>
        </w:rPr>
        <w:sectPr>
          <w:pgSz w:w="12240" w:h="15840"/>
          <w:pgMar w:header="0" w:footer="1259" w:top="1220" w:bottom="1440" w:left="1320" w:right="280"/>
        </w:sectPr>
      </w:pPr>
    </w:p>
    <w:p>
      <w:pPr>
        <w:pStyle w:val="BodyText"/>
        <w:spacing w:line="360" w:lineRule="auto" w:before="75"/>
        <w:ind w:left="839" w:right="1156"/>
        <w:jc w:val="both"/>
      </w:pPr>
      <w:r>
        <w:rPr/>
        <w:drawing>
          <wp:anchor distT="0" distB="0" distL="0" distR="0" allowOverlap="1" layoutInCell="1" locked="0" behindDoc="0" simplePos="0" relativeHeight="251691008">
            <wp:simplePos x="0" y="0"/>
            <wp:positionH relativeFrom="page">
              <wp:posOffset>6842112</wp:posOffset>
            </wp:positionH>
            <wp:positionV relativeFrom="page">
              <wp:posOffset>9356915</wp:posOffset>
            </wp:positionV>
            <wp:extent cx="547560" cy="555707"/>
            <wp:effectExtent l="0" t="0" r="0" b="0"/>
            <wp:wrapNone/>
            <wp:docPr id="49" name="image4.png"/>
            <wp:cNvGraphicFramePr>
              <a:graphicFrameLocks noChangeAspect="1"/>
            </wp:cNvGraphicFramePr>
            <a:graphic>
              <a:graphicData uri="http://schemas.openxmlformats.org/drawingml/2006/picture">
                <pic:pic>
                  <pic:nvPicPr>
                    <pic:cNvPr id="50" name="image4.png"/>
                    <pic:cNvPicPr/>
                  </pic:nvPicPr>
                  <pic:blipFill>
                    <a:blip r:embed="rId9" cstate="print"/>
                    <a:stretch>
                      <a:fillRect/>
                    </a:stretch>
                  </pic:blipFill>
                  <pic:spPr>
                    <a:xfrm>
                      <a:off x="0" y="0"/>
                      <a:ext cx="547560" cy="555707"/>
                    </a:xfrm>
                    <a:prstGeom prst="rect">
                      <a:avLst/>
                    </a:prstGeom>
                  </pic:spPr>
                </pic:pic>
              </a:graphicData>
            </a:graphic>
          </wp:anchor>
        </w:drawing>
      </w:r>
      <w:r>
        <w:rPr/>
        <w:drawing>
          <wp:anchor distT="0" distB="0" distL="0" distR="0" allowOverlap="1" layoutInCell="1" locked="0" behindDoc="0" simplePos="0" relativeHeight="251692032">
            <wp:simplePos x="0" y="0"/>
            <wp:positionH relativeFrom="page">
              <wp:posOffset>5829718</wp:posOffset>
            </wp:positionH>
            <wp:positionV relativeFrom="page">
              <wp:posOffset>9266800</wp:posOffset>
            </wp:positionV>
            <wp:extent cx="876722" cy="555707"/>
            <wp:effectExtent l="0" t="0" r="0" b="0"/>
            <wp:wrapNone/>
            <wp:docPr id="51" name="image5.png"/>
            <wp:cNvGraphicFramePr>
              <a:graphicFrameLocks noChangeAspect="1"/>
            </wp:cNvGraphicFramePr>
            <a:graphic>
              <a:graphicData uri="http://schemas.openxmlformats.org/drawingml/2006/picture">
                <pic:pic>
                  <pic:nvPicPr>
                    <pic:cNvPr id="52" name="image5.png"/>
                    <pic:cNvPicPr/>
                  </pic:nvPicPr>
                  <pic:blipFill>
                    <a:blip r:embed="rId10" cstate="print"/>
                    <a:stretch>
                      <a:fillRect/>
                    </a:stretch>
                  </pic:blipFill>
                  <pic:spPr>
                    <a:xfrm>
                      <a:off x="0" y="0"/>
                      <a:ext cx="876722" cy="555707"/>
                    </a:xfrm>
                    <a:prstGeom prst="rect">
                      <a:avLst/>
                    </a:prstGeom>
                  </pic:spPr>
                </pic:pic>
              </a:graphicData>
            </a:graphic>
          </wp:anchor>
        </w:drawing>
      </w:r>
      <w:r>
        <w:rPr/>
        <w:t>Attached as </w:t>
      </w:r>
      <w:r>
        <w:rPr>
          <w:b/>
        </w:rPr>
        <w:t>Exhibit “NN” </w:t>
      </w:r>
      <w:r>
        <w:rPr/>
        <w:t>to the FDW Affidavit is a copy of the Concerned Shareholders’ submission to MLT Aikins. Attached as </w:t>
      </w:r>
      <w:r>
        <w:rPr>
          <w:b/>
        </w:rPr>
        <w:t>Exhibit “OO” </w:t>
      </w:r>
      <w:r>
        <w:rPr/>
        <w:t>to the FDW Affidavit is a copy of the KRN press release of October 26, 2020.</w:t>
      </w:r>
    </w:p>
    <w:p>
      <w:pPr>
        <w:pStyle w:val="BodyText"/>
        <w:spacing w:before="10"/>
      </w:pPr>
    </w:p>
    <w:p>
      <w:pPr>
        <w:pStyle w:val="Heading1"/>
        <w:numPr>
          <w:ilvl w:val="0"/>
          <w:numId w:val="11"/>
        </w:numPr>
        <w:tabs>
          <w:tab w:pos="839" w:val="left" w:leader="none"/>
          <w:tab w:pos="841" w:val="left" w:leader="none"/>
        </w:tabs>
        <w:spacing w:line="240" w:lineRule="auto" w:before="0" w:after="0"/>
        <w:ind w:left="840" w:right="0" w:hanging="721"/>
        <w:jc w:val="left"/>
      </w:pPr>
      <w:r>
        <w:rPr>
          <w:u w:val="thick"/>
        </w:rPr>
        <w:t>Dissident Proxy</w:t>
      </w:r>
      <w:r>
        <w:rPr>
          <w:spacing w:val="-2"/>
          <w:u w:val="thick"/>
        </w:rPr>
        <w:t> </w:t>
      </w:r>
      <w:r>
        <w:rPr>
          <w:u w:val="thick"/>
        </w:rPr>
        <w:t>Circular</w:t>
      </w:r>
    </w:p>
    <w:p>
      <w:pPr>
        <w:pStyle w:val="BodyText"/>
        <w:spacing w:before="8"/>
        <w:rPr>
          <w:b/>
          <w:sz w:val="22"/>
        </w:rPr>
      </w:pPr>
    </w:p>
    <w:p>
      <w:pPr>
        <w:pStyle w:val="ListParagraph"/>
        <w:numPr>
          <w:ilvl w:val="0"/>
          <w:numId w:val="1"/>
        </w:numPr>
        <w:tabs>
          <w:tab w:pos="839" w:val="left" w:leader="none"/>
          <w:tab w:pos="841" w:val="left" w:leader="none"/>
        </w:tabs>
        <w:spacing w:line="240" w:lineRule="auto" w:before="94" w:after="0"/>
        <w:ind w:left="840" w:right="0" w:hanging="721"/>
        <w:jc w:val="left"/>
        <w:rPr>
          <w:sz w:val="20"/>
        </w:rPr>
      </w:pPr>
      <w:r>
        <w:rPr>
          <w:sz w:val="20"/>
        </w:rPr>
        <w:t>On November 15, 2020, KRN issued the KRN</w:t>
      </w:r>
      <w:r>
        <w:rPr>
          <w:spacing w:val="-6"/>
          <w:sz w:val="20"/>
        </w:rPr>
        <w:t> </w:t>
      </w:r>
      <w:r>
        <w:rPr>
          <w:sz w:val="20"/>
        </w:rPr>
        <w:t>Circular.</w:t>
      </w:r>
    </w:p>
    <w:p>
      <w:pPr>
        <w:pStyle w:val="BodyText"/>
        <w:spacing w:before="10"/>
        <w:rPr>
          <w:sz w:val="30"/>
        </w:rPr>
      </w:pPr>
    </w:p>
    <w:p>
      <w:pPr>
        <w:pStyle w:val="ListParagraph"/>
        <w:numPr>
          <w:ilvl w:val="0"/>
          <w:numId w:val="1"/>
        </w:numPr>
        <w:tabs>
          <w:tab w:pos="841" w:val="left" w:leader="none"/>
        </w:tabs>
        <w:spacing w:line="360" w:lineRule="auto" w:before="0" w:after="0"/>
        <w:ind w:left="840" w:right="1155" w:hanging="721"/>
        <w:jc w:val="both"/>
        <w:rPr>
          <w:sz w:val="20"/>
        </w:rPr>
      </w:pPr>
      <w:r>
        <w:rPr>
          <w:sz w:val="20"/>
        </w:rPr>
        <w:t>On December 4, 2020, the Concerned Shareholders issued a dissident information circular (the “</w:t>
      </w:r>
      <w:r>
        <w:rPr>
          <w:b/>
          <w:sz w:val="20"/>
        </w:rPr>
        <w:t>Dissident</w:t>
      </w:r>
      <w:r>
        <w:rPr>
          <w:b/>
          <w:spacing w:val="-12"/>
          <w:sz w:val="20"/>
        </w:rPr>
        <w:t> </w:t>
      </w:r>
      <w:r>
        <w:rPr>
          <w:b/>
          <w:sz w:val="20"/>
        </w:rPr>
        <w:t>Circular</w:t>
      </w:r>
      <w:r>
        <w:rPr>
          <w:sz w:val="20"/>
        </w:rPr>
        <w:t>”)</w:t>
      </w:r>
      <w:r>
        <w:rPr>
          <w:spacing w:val="-11"/>
          <w:sz w:val="20"/>
        </w:rPr>
        <w:t> </w:t>
      </w:r>
      <w:r>
        <w:rPr>
          <w:sz w:val="20"/>
        </w:rPr>
        <w:t>recommending</w:t>
      </w:r>
      <w:r>
        <w:rPr>
          <w:spacing w:val="-10"/>
          <w:sz w:val="20"/>
        </w:rPr>
        <w:t> </w:t>
      </w:r>
      <w:r>
        <w:rPr>
          <w:sz w:val="20"/>
        </w:rPr>
        <w:t>that</w:t>
      </w:r>
      <w:r>
        <w:rPr>
          <w:spacing w:val="-12"/>
          <w:sz w:val="20"/>
        </w:rPr>
        <w:t> </w:t>
      </w:r>
      <w:r>
        <w:rPr>
          <w:sz w:val="20"/>
        </w:rPr>
        <w:t>KRN</w:t>
      </w:r>
      <w:r>
        <w:rPr>
          <w:spacing w:val="-11"/>
          <w:sz w:val="20"/>
        </w:rPr>
        <w:t> </w:t>
      </w:r>
      <w:r>
        <w:rPr>
          <w:sz w:val="20"/>
        </w:rPr>
        <w:t>Shareholders</w:t>
      </w:r>
      <w:r>
        <w:rPr>
          <w:spacing w:val="-11"/>
          <w:sz w:val="20"/>
        </w:rPr>
        <w:t> </w:t>
      </w:r>
      <w:r>
        <w:rPr>
          <w:sz w:val="20"/>
        </w:rPr>
        <w:t>vote</w:t>
      </w:r>
      <w:r>
        <w:rPr>
          <w:spacing w:val="-11"/>
          <w:sz w:val="20"/>
        </w:rPr>
        <w:t> </w:t>
      </w:r>
      <w:r>
        <w:rPr>
          <w:sz w:val="20"/>
        </w:rPr>
        <w:t>in</w:t>
      </w:r>
      <w:r>
        <w:rPr>
          <w:spacing w:val="-11"/>
          <w:sz w:val="20"/>
        </w:rPr>
        <w:t> </w:t>
      </w:r>
      <w:r>
        <w:rPr>
          <w:sz w:val="20"/>
        </w:rPr>
        <w:t>favor</w:t>
      </w:r>
      <w:r>
        <w:rPr>
          <w:spacing w:val="-10"/>
          <w:sz w:val="20"/>
        </w:rPr>
        <w:t> </w:t>
      </w:r>
      <w:r>
        <w:rPr>
          <w:sz w:val="20"/>
        </w:rPr>
        <w:t>of</w:t>
      </w:r>
      <w:r>
        <w:rPr>
          <w:spacing w:val="-12"/>
          <w:sz w:val="20"/>
        </w:rPr>
        <w:t> </w:t>
      </w:r>
      <w:r>
        <w:rPr>
          <w:sz w:val="20"/>
        </w:rPr>
        <w:t>electing</w:t>
      </w:r>
      <w:r>
        <w:rPr>
          <w:spacing w:val="-11"/>
          <w:sz w:val="20"/>
        </w:rPr>
        <w:t> </w:t>
      </w:r>
      <w:r>
        <w:rPr>
          <w:sz w:val="20"/>
        </w:rPr>
        <w:t>a</w:t>
      </w:r>
      <w:r>
        <w:rPr>
          <w:spacing w:val="-10"/>
          <w:sz w:val="20"/>
        </w:rPr>
        <w:t> </w:t>
      </w:r>
      <w:r>
        <w:rPr>
          <w:sz w:val="20"/>
        </w:rPr>
        <w:t>KRN</w:t>
      </w:r>
      <w:r>
        <w:rPr>
          <w:spacing w:val="-11"/>
          <w:sz w:val="20"/>
        </w:rPr>
        <w:t> </w:t>
      </w:r>
      <w:r>
        <w:rPr>
          <w:sz w:val="20"/>
        </w:rPr>
        <w:t>Board consisting</w:t>
      </w:r>
      <w:r>
        <w:rPr>
          <w:spacing w:val="-10"/>
          <w:sz w:val="20"/>
        </w:rPr>
        <w:t> </w:t>
      </w:r>
      <w:r>
        <w:rPr>
          <w:sz w:val="20"/>
        </w:rPr>
        <w:t>of</w:t>
      </w:r>
      <w:r>
        <w:rPr>
          <w:spacing w:val="-10"/>
          <w:sz w:val="20"/>
        </w:rPr>
        <w:t> </w:t>
      </w:r>
      <w:r>
        <w:rPr>
          <w:sz w:val="20"/>
        </w:rPr>
        <w:t>six</w:t>
      </w:r>
      <w:r>
        <w:rPr>
          <w:spacing w:val="-9"/>
          <w:sz w:val="20"/>
        </w:rPr>
        <w:t> </w:t>
      </w:r>
      <w:r>
        <w:rPr>
          <w:sz w:val="20"/>
        </w:rPr>
        <w:t>(6)</w:t>
      </w:r>
      <w:r>
        <w:rPr>
          <w:spacing w:val="-9"/>
          <w:sz w:val="20"/>
        </w:rPr>
        <w:t> </w:t>
      </w:r>
      <w:r>
        <w:rPr>
          <w:sz w:val="20"/>
        </w:rPr>
        <w:t>directors</w:t>
      </w:r>
      <w:r>
        <w:rPr>
          <w:spacing w:val="-8"/>
          <w:sz w:val="20"/>
        </w:rPr>
        <w:t> </w:t>
      </w:r>
      <w:r>
        <w:rPr>
          <w:sz w:val="20"/>
        </w:rPr>
        <w:t>as</w:t>
      </w:r>
      <w:r>
        <w:rPr>
          <w:spacing w:val="-9"/>
          <w:sz w:val="20"/>
        </w:rPr>
        <w:t> </w:t>
      </w:r>
      <w:r>
        <w:rPr>
          <w:sz w:val="20"/>
        </w:rPr>
        <w:t>set</w:t>
      </w:r>
      <w:r>
        <w:rPr>
          <w:spacing w:val="-10"/>
          <w:sz w:val="20"/>
        </w:rPr>
        <w:t> </w:t>
      </w:r>
      <w:r>
        <w:rPr>
          <w:sz w:val="20"/>
        </w:rPr>
        <w:t>out</w:t>
      </w:r>
      <w:r>
        <w:rPr>
          <w:spacing w:val="-11"/>
          <w:sz w:val="20"/>
        </w:rPr>
        <w:t> </w:t>
      </w:r>
      <w:r>
        <w:rPr>
          <w:sz w:val="20"/>
        </w:rPr>
        <w:t>in</w:t>
      </w:r>
      <w:r>
        <w:rPr>
          <w:spacing w:val="-9"/>
          <w:sz w:val="20"/>
        </w:rPr>
        <w:t> </w:t>
      </w:r>
      <w:r>
        <w:rPr>
          <w:sz w:val="20"/>
        </w:rPr>
        <w:t>the</w:t>
      </w:r>
      <w:r>
        <w:rPr>
          <w:spacing w:val="-9"/>
          <w:sz w:val="20"/>
        </w:rPr>
        <w:t> </w:t>
      </w:r>
      <w:r>
        <w:rPr>
          <w:sz w:val="20"/>
        </w:rPr>
        <w:t>Requisition.</w:t>
      </w:r>
      <w:r>
        <w:rPr>
          <w:spacing w:val="36"/>
          <w:sz w:val="20"/>
        </w:rPr>
        <w:t> </w:t>
      </w:r>
      <w:r>
        <w:rPr>
          <w:sz w:val="20"/>
        </w:rPr>
        <w:t>The</w:t>
      </w:r>
      <w:r>
        <w:rPr>
          <w:spacing w:val="-9"/>
          <w:sz w:val="20"/>
        </w:rPr>
        <w:t> </w:t>
      </w:r>
      <w:r>
        <w:rPr>
          <w:sz w:val="20"/>
        </w:rPr>
        <w:t>Dissident</w:t>
      </w:r>
      <w:r>
        <w:rPr>
          <w:spacing w:val="-10"/>
          <w:sz w:val="20"/>
        </w:rPr>
        <w:t> </w:t>
      </w:r>
      <w:r>
        <w:rPr>
          <w:sz w:val="20"/>
        </w:rPr>
        <w:t>Circular</w:t>
      </w:r>
      <w:r>
        <w:rPr>
          <w:spacing w:val="-10"/>
          <w:sz w:val="20"/>
        </w:rPr>
        <w:t> </w:t>
      </w:r>
      <w:r>
        <w:rPr>
          <w:sz w:val="20"/>
        </w:rPr>
        <w:t>also</w:t>
      </w:r>
      <w:r>
        <w:rPr>
          <w:spacing w:val="-9"/>
          <w:sz w:val="20"/>
        </w:rPr>
        <w:t> </w:t>
      </w:r>
      <w:r>
        <w:rPr>
          <w:sz w:val="20"/>
        </w:rPr>
        <w:t>summarized their concerns with the KRN Board’s and management’s actions and conduct, as well as their concerns with the KRN Circular. Attached and marked as </w:t>
      </w:r>
      <w:r>
        <w:rPr>
          <w:b/>
          <w:sz w:val="20"/>
        </w:rPr>
        <w:t>Exhibit “RR” </w:t>
      </w:r>
      <w:r>
        <w:rPr>
          <w:sz w:val="20"/>
        </w:rPr>
        <w:t>to the FDW Affidavit is a copy of the Dissident</w:t>
      </w:r>
      <w:r>
        <w:rPr>
          <w:spacing w:val="-4"/>
          <w:sz w:val="20"/>
        </w:rPr>
        <w:t> </w:t>
      </w:r>
      <w:r>
        <w:rPr>
          <w:sz w:val="20"/>
        </w:rPr>
        <w:t>Circular.</w:t>
      </w:r>
    </w:p>
    <w:p>
      <w:pPr>
        <w:pStyle w:val="BodyText"/>
        <w:spacing w:before="10"/>
      </w:pPr>
    </w:p>
    <w:p>
      <w:pPr>
        <w:pStyle w:val="Heading1"/>
        <w:ind w:left="120" w:firstLine="0"/>
      </w:pPr>
      <w:r>
        <w:rPr/>
        <w:t>Delay in Holding Special Meeting for an Improper Purpose</w:t>
      </w:r>
    </w:p>
    <w:p>
      <w:pPr>
        <w:pStyle w:val="BodyText"/>
        <w:spacing w:before="11"/>
        <w:rPr>
          <w:b/>
          <w:sz w:val="30"/>
        </w:rPr>
      </w:pPr>
    </w:p>
    <w:p>
      <w:pPr>
        <w:pStyle w:val="ListParagraph"/>
        <w:numPr>
          <w:ilvl w:val="0"/>
          <w:numId w:val="1"/>
        </w:numPr>
        <w:tabs>
          <w:tab w:pos="841" w:val="left" w:leader="none"/>
        </w:tabs>
        <w:spacing w:line="360" w:lineRule="auto" w:before="0" w:after="0"/>
        <w:ind w:left="840" w:right="1156" w:hanging="721"/>
        <w:jc w:val="both"/>
        <w:rPr>
          <w:sz w:val="20"/>
        </w:rPr>
      </w:pPr>
      <w:r>
        <w:rPr>
          <w:sz w:val="20"/>
        </w:rPr>
        <w:t>I am advised by Rowan, and verily believe that, in May 2020, when Varma was reassigned within GSFC,</w:t>
      </w:r>
      <w:r>
        <w:rPr>
          <w:spacing w:val="-16"/>
          <w:sz w:val="20"/>
        </w:rPr>
        <w:t> </w:t>
      </w:r>
      <w:r>
        <w:rPr>
          <w:sz w:val="20"/>
        </w:rPr>
        <w:t>and</w:t>
      </w:r>
      <w:r>
        <w:rPr>
          <w:spacing w:val="-15"/>
          <w:sz w:val="20"/>
        </w:rPr>
        <w:t> </w:t>
      </w:r>
      <w:r>
        <w:rPr>
          <w:sz w:val="20"/>
        </w:rPr>
        <w:t>was</w:t>
      </w:r>
      <w:r>
        <w:rPr>
          <w:spacing w:val="-15"/>
          <w:sz w:val="20"/>
        </w:rPr>
        <w:t> </w:t>
      </w:r>
      <w:r>
        <w:rPr>
          <w:sz w:val="20"/>
        </w:rPr>
        <w:t>removed</w:t>
      </w:r>
      <w:r>
        <w:rPr>
          <w:spacing w:val="-15"/>
          <w:sz w:val="20"/>
        </w:rPr>
        <w:t> </w:t>
      </w:r>
      <w:r>
        <w:rPr>
          <w:sz w:val="20"/>
        </w:rPr>
        <w:t>as</w:t>
      </w:r>
      <w:r>
        <w:rPr>
          <w:spacing w:val="-15"/>
          <w:sz w:val="20"/>
        </w:rPr>
        <w:t> </w:t>
      </w:r>
      <w:r>
        <w:rPr>
          <w:sz w:val="20"/>
        </w:rPr>
        <w:t>a</w:t>
      </w:r>
      <w:r>
        <w:rPr>
          <w:spacing w:val="-15"/>
          <w:sz w:val="20"/>
        </w:rPr>
        <w:t> </w:t>
      </w:r>
      <w:r>
        <w:rPr>
          <w:sz w:val="20"/>
        </w:rPr>
        <w:t>director</w:t>
      </w:r>
      <w:r>
        <w:rPr>
          <w:spacing w:val="-15"/>
          <w:sz w:val="20"/>
        </w:rPr>
        <w:t> </w:t>
      </w:r>
      <w:r>
        <w:rPr>
          <w:sz w:val="20"/>
        </w:rPr>
        <w:t>from</w:t>
      </w:r>
      <w:r>
        <w:rPr>
          <w:spacing w:val="-16"/>
          <w:sz w:val="20"/>
        </w:rPr>
        <w:t> </w:t>
      </w:r>
      <w:r>
        <w:rPr>
          <w:sz w:val="20"/>
        </w:rPr>
        <w:t>the</w:t>
      </w:r>
      <w:r>
        <w:rPr>
          <w:spacing w:val="-15"/>
          <w:sz w:val="20"/>
        </w:rPr>
        <w:t> </w:t>
      </w:r>
      <w:r>
        <w:rPr>
          <w:sz w:val="20"/>
        </w:rPr>
        <w:t>KRN</w:t>
      </w:r>
      <w:r>
        <w:rPr>
          <w:spacing w:val="-16"/>
          <w:sz w:val="20"/>
        </w:rPr>
        <w:t> </w:t>
      </w:r>
      <w:r>
        <w:rPr>
          <w:sz w:val="20"/>
        </w:rPr>
        <w:t>Board</w:t>
      </w:r>
      <w:r>
        <w:rPr>
          <w:spacing w:val="-17"/>
          <w:sz w:val="20"/>
        </w:rPr>
        <w:t> </w:t>
      </w:r>
      <w:r>
        <w:rPr>
          <w:sz w:val="20"/>
        </w:rPr>
        <w:t>by</w:t>
      </w:r>
      <w:r>
        <w:rPr>
          <w:spacing w:val="-14"/>
          <w:sz w:val="20"/>
        </w:rPr>
        <w:t> </w:t>
      </w:r>
      <w:r>
        <w:rPr>
          <w:sz w:val="20"/>
        </w:rPr>
        <w:t>the</w:t>
      </w:r>
      <w:r>
        <w:rPr>
          <w:spacing w:val="-17"/>
          <w:sz w:val="20"/>
        </w:rPr>
        <w:t> </w:t>
      </w:r>
      <w:r>
        <w:rPr>
          <w:sz w:val="20"/>
        </w:rPr>
        <w:t>GSFC</w:t>
      </w:r>
      <w:r>
        <w:rPr>
          <w:spacing w:val="-15"/>
          <w:sz w:val="20"/>
        </w:rPr>
        <w:t> </w:t>
      </w:r>
      <w:r>
        <w:rPr>
          <w:sz w:val="20"/>
        </w:rPr>
        <w:t>MD,</w:t>
      </w:r>
      <w:r>
        <w:rPr>
          <w:spacing w:val="-16"/>
          <w:sz w:val="20"/>
        </w:rPr>
        <w:t> </w:t>
      </w:r>
      <w:r>
        <w:rPr>
          <w:sz w:val="20"/>
        </w:rPr>
        <w:t>Varma</w:t>
      </w:r>
      <w:r>
        <w:rPr>
          <w:spacing w:val="-17"/>
          <w:sz w:val="20"/>
        </w:rPr>
        <w:t> </w:t>
      </w:r>
      <w:r>
        <w:rPr>
          <w:sz w:val="20"/>
        </w:rPr>
        <w:t>was</w:t>
      </w:r>
      <w:r>
        <w:rPr>
          <w:spacing w:val="-14"/>
          <w:sz w:val="20"/>
        </w:rPr>
        <w:t> </w:t>
      </w:r>
      <w:r>
        <w:rPr>
          <w:sz w:val="20"/>
        </w:rPr>
        <w:t>extremely upset by this action, and both Favreau attributed some profane references to the GSFC</w:t>
      </w:r>
      <w:r>
        <w:rPr>
          <w:spacing w:val="-26"/>
          <w:sz w:val="20"/>
        </w:rPr>
        <w:t> </w:t>
      </w:r>
      <w:r>
        <w:rPr>
          <w:sz w:val="20"/>
        </w:rPr>
        <w:t>MD.</w:t>
      </w:r>
    </w:p>
    <w:p>
      <w:pPr>
        <w:pStyle w:val="BodyText"/>
        <w:spacing w:before="9"/>
        <w:rPr>
          <w:sz w:val="30"/>
        </w:rPr>
      </w:pPr>
    </w:p>
    <w:p>
      <w:pPr>
        <w:pStyle w:val="ListParagraph"/>
        <w:numPr>
          <w:ilvl w:val="0"/>
          <w:numId w:val="1"/>
        </w:numPr>
        <w:tabs>
          <w:tab w:pos="841" w:val="left" w:leader="none"/>
        </w:tabs>
        <w:spacing w:line="360" w:lineRule="auto" w:before="0" w:after="0"/>
        <w:ind w:left="840" w:right="1157" w:hanging="720"/>
        <w:jc w:val="both"/>
        <w:rPr>
          <w:sz w:val="20"/>
        </w:rPr>
      </w:pPr>
      <w:r>
        <w:rPr>
          <w:sz w:val="20"/>
        </w:rPr>
        <w:t>I am advised by Rowan, and verily believe, that a new GSFC MD was scheduled to be appointed in November</w:t>
      </w:r>
      <w:r>
        <w:rPr>
          <w:spacing w:val="-4"/>
          <w:sz w:val="20"/>
        </w:rPr>
        <w:t> </w:t>
      </w:r>
      <w:r>
        <w:rPr>
          <w:sz w:val="20"/>
        </w:rPr>
        <w:t>2020.</w:t>
      </w:r>
    </w:p>
    <w:p>
      <w:pPr>
        <w:pStyle w:val="BodyText"/>
        <w:spacing w:before="8"/>
        <w:rPr>
          <w:sz w:val="30"/>
        </w:rPr>
      </w:pPr>
    </w:p>
    <w:p>
      <w:pPr>
        <w:pStyle w:val="ListParagraph"/>
        <w:numPr>
          <w:ilvl w:val="0"/>
          <w:numId w:val="1"/>
        </w:numPr>
        <w:tabs>
          <w:tab w:pos="841" w:val="left" w:leader="none"/>
        </w:tabs>
        <w:spacing w:line="360" w:lineRule="auto" w:before="0" w:after="0"/>
        <w:ind w:left="840" w:right="1156" w:hanging="721"/>
        <w:jc w:val="both"/>
        <w:rPr>
          <w:sz w:val="20"/>
        </w:rPr>
      </w:pPr>
      <w:r>
        <w:rPr>
          <w:sz w:val="20"/>
        </w:rPr>
        <w:t>I</w:t>
      </w:r>
      <w:r>
        <w:rPr>
          <w:spacing w:val="-14"/>
          <w:sz w:val="20"/>
        </w:rPr>
        <w:t> </w:t>
      </w:r>
      <w:r>
        <w:rPr>
          <w:sz w:val="20"/>
        </w:rPr>
        <w:t>verily</w:t>
      </w:r>
      <w:r>
        <w:rPr>
          <w:spacing w:val="-13"/>
          <w:sz w:val="20"/>
        </w:rPr>
        <w:t> </w:t>
      </w:r>
      <w:r>
        <w:rPr>
          <w:sz w:val="20"/>
        </w:rPr>
        <w:t>believe</w:t>
      </w:r>
      <w:r>
        <w:rPr>
          <w:spacing w:val="-13"/>
          <w:sz w:val="20"/>
        </w:rPr>
        <w:t> </w:t>
      </w:r>
      <w:r>
        <w:rPr>
          <w:sz w:val="20"/>
        </w:rPr>
        <w:t>that</w:t>
      </w:r>
      <w:r>
        <w:rPr>
          <w:spacing w:val="-14"/>
          <w:sz w:val="20"/>
        </w:rPr>
        <w:t> </w:t>
      </w:r>
      <w:r>
        <w:rPr>
          <w:sz w:val="20"/>
        </w:rPr>
        <w:t>the</w:t>
      </w:r>
      <w:r>
        <w:rPr>
          <w:spacing w:val="-12"/>
          <w:sz w:val="20"/>
        </w:rPr>
        <w:t> </w:t>
      </w:r>
      <w:r>
        <w:rPr>
          <w:sz w:val="20"/>
        </w:rPr>
        <w:t>sole</w:t>
      </w:r>
      <w:r>
        <w:rPr>
          <w:spacing w:val="-15"/>
          <w:sz w:val="20"/>
        </w:rPr>
        <w:t> </w:t>
      </w:r>
      <w:r>
        <w:rPr>
          <w:sz w:val="20"/>
        </w:rPr>
        <w:t>purpose</w:t>
      </w:r>
      <w:r>
        <w:rPr>
          <w:spacing w:val="-13"/>
          <w:sz w:val="20"/>
        </w:rPr>
        <w:t> </w:t>
      </w:r>
      <w:r>
        <w:rPr>
          <w:sz w:val="20"/>
        </w:rPr>
        <w:t>for</w:t>
      </w:r>
      <w:r>
        <w:rPr>
          <w:spacing w:val="-14"/>
          <w:sz w:val="20"/>
        </w:rPr>
        <w:t> </w:t>
      </w:r>
      <w:r>
        <w:rPr>
          <w:sz w:val="20"/>
        </w:rPr>
        <w:t>which</w:t>
      </w:r>
      <w:r>
        <w:rPr>
          <w:spacing w:val="-14"/>
          <w:sz w:val="20"/>
        </w:rPr>
        <w:t> </w:t>
      </w:r>
      <w:r>
        <w:rPr>
          <w:sz w:val="20"/>
        </w:rPr>
        <w:t>Favreau</w:t>
      </w:r>
      <w:r>
        <w:rPr>
          <w:spacing w:val="-12"/>
          <w:sz w:val="20"/>
        </w:rPr>
        <w:t> </w:t>
      </w:r>
      <w:r>
        <w:rPr>
          <w:sz w:val="20"/>
        </w:rPr>
        <w:t>delayed</w:t>
      </w:r>
      <w:r>
        <w:rPr>
          <w:spacing w:val="-13"/>
          <w:sz w:val="20"/>
        </w:rPr>
        <w:t> </w:t>
      </w:r>
      <w:r>
        <w:rPr>
          <w:sz w:val="20"/>
        </w:rPr>
        <w:t>the</w:t>
      </w:r>
      <w:r>
        <w:rPr>
          <w:spacing w:val="-13"/>
          <w:sz w:val="20"/>
        </w:rPr>
        <w:t> </w:t>
      </w:r>
      <w:r>
        <w:rPr>
          <w:sz w:val="20"/>
        </w:rPr>
        <w:t>Special</w:t>
      </w:r>
      <w:r>
        <w:rPr>
          <w:spacing w:val="-14"/>
          <w:sz w:val="20"/>
        </w:rPr>
        <w:t> </w:t>
      </w:r>
      <w:r>
        <w:rPr>
          <w:sz w:val="20"/>
        </w:rPr>
        <w:t>Meeting</w:t>
      </w:r>
      <w:r>
        <w:rPr>
          <w:spacing w:val="-13"/>
          <w:sz w:val="20"/>
        </w:rPr>
        <w:t> </w:t>
      </w:r>
      <w:r>
        <w:rPr>
          <w:sz w:val="20"/>
        </w:rPr>
        <w:t>until</w:t>
      </w:r>
      <w:r>
        <w:rPr>
          <w:spacing w:val="-13"/>
          <w:sz w:val="20"/>
        </w:rPr>
        <w:t> </w:t>
      </w:r>
      <w:r>
        <w:rPr>
          <w:sz w:val="20"/>
        </w:rPr>
        <w:t>December 15, 2020, was to ensure that a new GSFC MD was appointed prior to the Special Meeting being held, in the hopes that the new GSFC MD would put Varma back on the KRN</w:t>
      </w:r>
      <w:r>
        <w:rPr>
          <w:spacing w:val="-18"/>
          <w:sz w:val="20"/>
        </w:rPr>
        <w:t> </w:t>
      </w:r>
      <w:r>
        <w:rPr>
          <w:sz w:val="20"/>
        </w:rPr>
        <w:t>Board.</w:t>
      </w:r>
    </w:p>
    <w:p>
      <w:pPr>
        <w:pStyle w:val="BodyText"/>
        <w:spacing w:before="10"/>
      </w:pPr>
    </w:p>
    <w:p>
      <w:pPr>
        <w:pStyle w:val="ListParagraph"/>
        <w:numPr>
          <w:ilvl w:val="0"/>
          <w:numId w:val="1"/>
        </w:numPr>
        <w:tabs>
          <w:tab w:pos="841" w:val="left" w:leader="none"/>
        </w:tabs>
        <w:spacing w:line="360" w:lineRule="auto" w:before="0" w:after="0"/>
        <w:ind w:left="840" w:right="1155" w:hanging="721"/>
        <w:jc w:val="both"/>
        <w:rPr>
          <w:sz w:val="20"/>
        </w:rPr>
      </w:pPr>
      <w:r>
        <w:rPr>
          <w:sz w:val="20"/>
        </w:rPr>
        <w:t>I verily believe that the delay of the Special Meeting was motivated by an improper purpose and constituted</w:t>
      </w:r>
      <w:r>
        <w:rPr>
          <w:spacing w:val="-15"/>
          <w:sz w:val="20"/>
        </w:rPr>
        <w:t> </w:t>
      </w:r>
      <w:r>
        <w:rPr>
          <w:sz w:val="20"/>
        </w:rPr>
        <w:t>improper</w:t>
      </w:r>
      <w:r>
        <w:rPr>
          <w:spacing w:val="-14"/>
          <w:sz w:val="20"/>
        </w:rPr>
        <w:t> </w:t>
      </w:r>
      <w:r>
        <w:rPr>
          <w:sz w:val="20"/>
        </w:rPr>
        <w:t>conduct</w:t>
      </w:r>
      <w:r>
        <w:rPr>
          <w:spacing w:val="-14"/>
          <w:sz w:val="20"/>
        </w:rPr>
        <w:t> </w:t>
      </w:r>
      <w:r>
        <w:rPr>
          <w:sz w:val="20"/>
        </w:rPr>
        <w:t>by</w:t>
      </w:r>
      <w:r>
        <w:rPr>
          <w:spacing w:val="-15"/>
          <w:sz w:val="20"/>
        </w:rPr>
        <w:t> </w:t>
      </w:r>
      <w:r>
        <w:rPr>
          <w:sz w:val="20"/>
        </w:rPr>
        <w:t>Favreau</w:t>
      </w:r>
      <w:r>
        <w:rPr>
          <w:spacing w:val="-15"/>
          <w:sz w:val="20"/>
        </w:rPr>
        <w:t> </w:t>
      </w:r>
      <w:r>
        <w:rPr>
          <w:sz w:val="20"/>
        </w:rPr>
        <w:t>and</w:t>
      </w:r>
      <w:r>
        <w:rPr>
          <w:spacing w:val="-15"/>
          <w:sz w:val="20"/>
        </w:rPr>
        <w:t> </w:t>
      </w:r>
      <w:r>
        <w:rPr>
          <w:sz w:val="20"/>
        </w:rPr>
        <w:t>the</w:t>
      </w:r>
      <w:r>
        <w:rPr>
          <w:spacing w:val="-14"/>
          <w:sz w:val="20"/>
        </w:rPr>
        <w:t> </w:t>
      </w:r>
      <w:r>
        <w:rPr>
          <w:sz w:val="20"/>
        </w:rPr>
        <w:t>KRN</w:t>
      </w:r>
      <w:r>
        <w:rPr>
          <w:spacing w:val="-14"/>
          <w:sz w:val="20"/>
        </w:rPr>
        <w:t> </w:t>
      </w:r>
      <w:r>
        <w:rPr>
          <w:sz w:val="20"/>
        </w:rPr>
        <w:t>Board,</w:t>
      </w:r>
      <w:r>
        <w:rPr>
          <w:spacing w:val="-14"/>
          <w:sz w:val="20"/>
        </w:rPr>
        <w:t> </w:t>
      </w:r>
      <w:r>
        <w:rPr>
          <w:sz w:val="20"/>
        </w:rPr>
        <w:t>and</w:t>
      </w:r>
      <w:r>
        <w:rPr>
          <w:spacing w:val="-16"/>
          <w:sz w:val="20"/>
        </w:rPr>
        <w:t> </w:t>
      </w:r>
      <w:r>
        <w:rPr>
          <w:sz w:val="20"/>
        </w:rPr>
        <w:t>was</w:t>
      </w:r>
      <w:r>
        <w:rPr>
          <w:spacing w:val="-14"/>
          <w:sz w:val="20"/>
        </w:rPr>
        <w:t> </w:t>
      </w:r>
      <w:r>
        <w:rPr>
          <w:sz w:val="20"/>
        </w:rPr>
        <w:t>clearly</w:t>
      </w:r>
      <w:r>
        <w:rPr>
          <w:spacing w:val="-13"/>
          <w:sz w:val="20"/>
        </w:rPr>
        <w:t> </w:t>
      </w:r>
      <w:r>
        <w:rPr>
          <w:sz w:val="20"/>
        </w:rPr>
        <w:t>designed</w:t>
      </w:r>
      <w:r>
        <w:rPr>
          <w:spacing w:val="-15"/>
          <w:sz w:val="20"/>
        </w:rPr>
        <w:t> </w:t>
      </w:r>
      <w:r>
        <w:rPr>
          <w:sz w:val="20"/>
        </w:rPr>
        <w:t>to</w:t>
      </w:r>
      <w:r>
        <w:rPr>
          <w:spacing w:val="-14"/>
          <w:sz w:val="20"/>
        </w:rPr>
        <w:t> </w:t>
      </w:r>
      <w:r>
        <w:rPr>
          <w:sz w:val="20"/>
        </w:rPr>
        <w:t>continue GSFC’s</w:t>
      </w:r>
      <w:r>
        <w:rPr>
          <w:spacing w:val="-13"/>
          <w:sz w:val="20"/>
        </w:rPr>
        <w:t> </w:t>
      </w:r>
      <w:r>
        <w:rPr>
          <w:sz w:val="20"/>
        </w:rPr>
        <w:t>control</w:t>
      </w:r>
      <w:r>
        <w:rPr>
          <w:spacing w:val="-13"/>
          <w:sz w:val="20"/>
        </w:rPr>
        <w:t> </w:t>
      </w:r>
      <w:r>
        <w:rPr>
          <w:sz w:val="20"/>
        </w:rPr>
        <w:t>of</w:t>
      </w:r>
      <w:r>
        <w:rPr>
          <w:spacing w:val="-13"/>
          <w:sz w:val="20"/>
        </w:rPr>
        <w:t> </w:t>
      </w:r>
      <w:r>
        <w:rPr>
          <w:sz w:val="20"/>
        </w:rPr>
        <w:t>the</w:t>
      </w:r>
      <w:r>
        <w:rPr>
          <w:spacing w:val="-12"/>
          <w:sz w:val="20"/>
        </w:rPr>
        <w:t> </w:t>
      </w:r>
      <w:r>
        <w:rPr>
          <w:sz w:val="20"/>
        </w:rPr>
        <w:t>KRN</w:t>
      </w:r>
      <w:r>
        <w:rPr>
          <w:spacing w:val="-13"/>
          <w:sz w:val="20"/>
        </w:rPr>
        <w:t> </w:t>
      </w:r>
      <w:r>
        <w:rPr>
          <w:sz w:val="20"/>
        </w:rPr>
        <w:t>Board,</w:t>
      </w:r>
      <w:r>
        <w:rPr>
          <w:spacing w:val="-14"/>
          <w:sz w:val="20"/>
        </w:rPr>
        <w:t> </w:t>
      </w:r>
      <w:r>
        <w:rPr>
          <w:sz w:val="20"/>
        </w:rPr>
        <w:t>as</w:t>
      </w:r>
      <w:r>
        <w:rPr>
          <w:spacing w:val="-12"/>
          <w:sz w:val="20"/>
        </w:rPr>
        <w:t> </w:t>
      </w:r>
      <w:r>
        <w:rPr>
          <w:sz w:val="20"/>
        </w:rPr>
        <w:t>well</w:t>
      </w:r>
      <w:r>
        <w:rPr>
          <w:spacing w:val="-13"/>
          <w:sz w:val="20"/>
        </w:rPr>
        <w:t> </w:t>
      </w:r>
      <w:r>
        <w:rPr>
          <w:sz w:val="20"/>
        </w:rPr>
        <w:t>as</w:t>
      </w:r>
      <w:r>
        <w:rPr>
          <w:spacing w:val="-12"/>
          <w:sz w:val="20"/>
        </w:rPr>
        <w:t> </w:t>
      </w:r>
      <w:r>
        <w:rPr>
          <w:sz w:val="20"/>
        </w:rPr>
        <w:t>the</w:t>
      </w:r>
      <w:r>
        <w:rPr>
          <w:spacing w:val="-13"/>
          <w:sz w:val="20"/>
        </w:rPr>
        <w:t> </w:t>
      </w:r>
      <w:r>
        <w:rPr>
          <w:sz w:val="20"/>
        </w:rPr>
        <w:t>entrenchment</w:t>
      </w:r>
      <w:r>
        <w:rPr>
          <w:spacing w:val="-13"/>
          <w:sz w:val="20"/>
        </w:rPr>
        <w:t> </w:t>
      </w:r>
      <w:r>
        <w:rPr>
          <w:sz w:val="20"/>
        </w:rPr>
        <w:t>of</w:t>
      </w:r>
      <w:r>
        <w:rPr>
          <w:spacing w:val="-13"/>
          <w:sz w:val="20"/>
        </w:rPr>
        <w:t> </w:t>
      </w:r>
      <w:r>
        <w:rPr>
          <w:sz w:val="20"/>
        </w:rPr>
        <w:t>the</w:t>
      </w:r>
      <w:r>
        <w:rPr>
          <w:spacing w:val="-12"/>
          <w:sz w:val="20"/>
        </w:rPr>
        <w:t> </w:t>
      </w:r>
      <w:r>
        <w:rPr>
          <w:sz w:val="20"/>
        </w:rPr>
        <w:t>KRN</w:t>
      </w:r>
      <w:r>
        <w:rPr>
          <w:spacing w:val="-12"/>
          <w:sz w:val="20"/>
        </w:rPr>
        <w:t> </w:t>
      </w:r>
      <w:r>
        <w:rPr>
          <w:sz w:val="20"/>
        </w:rPr>
        <w:t>Board</w:t>
      </w:r>
      <w:r>
        <w:rPr>
          <w:spacing w:val="-15"/>
          <w:sz w:val="20"/>
        </w:rPr>
        <w:t> </w:t>
      </w:r>
      <w:r>
        <w:rPr>
          <w:sz w:val="20"/>
        </w:rPr>
        <w:t>and</w:t>
      </w:r>
      <w:r>
        <w:rPr>
          <w:spacing w:val="-12"/>
          <w:sz w:val="20"/>
        </w:rPr>
        <w:t> </w:t>
      </w:r>
      <w:r>
        <w:rPr>
          <w:sz w:val="20"/>
        </w:rPr>
        <w:t>management</w:t>
      </w:r>
    </w:p>
    <w:p>
      <w:pPr>
        <w:pStyle w:val="BodyText"/>
        <w:spacing w:before="9"/>
      </w:pPr>
    </w:p>
    <w:p>
      <w:pPr>
        <w:pStyle w:val="Heading1"/>
        <w:ind w:left="120" w:firstLine="0"/>
      </w:pPr>
      <w:r>
        <w:rPr/>
        <w:t>KRN Proxy Circular for Special Meeting</w:t>
      </w:r>
    </w:p>
    <w:p>
      <w:pPr>
        <w:pStyle w:val="BodyText"/>
        <w:spacing w:before="10"/>
        <w:rPr>
          <w:b/>
          <w:sz w:val="30"/>
        </w:rPr>
      </w:pPr>
    </w:p>
    <w:p>
      <w:pPr>
        <w:pStyle w:val="ListParagraph"/>
        <w:numPr>
          <w:ilvl w:val="0"/>
          <w:numId w:val="12"/>
        </w:numPr>
        <w:tabs>
          <w:tab w:pos="839" w:val="left" w:leader="none"/>
          <w:tab w:pos="841" w:val="left" w:leader="none"/>
        </w:tabs>
        <w:spacing w:line="240" w:lineRule="auto" w:before="0" w:after="0"/>
        <w:ind w:left="840" w:right="0" w:hanging="721"/>
        <w:jc w:val="left"/>
        <w:rPr>
          <w:b/>
          <w:sz w:val="20"/>
        </w:rPr>
      </w:pPr>
      <w:r>
        <w:rPr>
          <w:b/>
          <w:sz w:val="20"/>
          <w:u w:val="thick"/>
        </w:rPr>
        <w:t>KRN Board</w:t>
      </w:r>
      <w:r>
        <w:rPr>
          <w:b/>
          <w:spacing w:val="-3"/>
          <w:sz w:val="20"/>
          <w:u w:val="thick"/>
        </w:rPr>
        <w:t> </w:t>
      </w:r>
      <w:r>
        <w:rPr>
          <w:b/>
          <w:sz w:val="20"/>
          <w:u w:val="thick"/>
        </w:rPr>
        <w:t>Approval</w:t>
      </w:r>
    </w:p>
    <w:p>
      <w:pPr>
        <w:pStyle w:val="BodyText"/>
        <w:spacing w:before="7"/>
        <w:rPr>
          <w:b/>
          <w:sz w:val="22"/>
        </w:rPr>
      </w:pPr>
    </w:p>
    <w:p>
      <w:pPr>
        <w:pStyle w:val="ListParagraph"/>
        <w:numPr>
          <w:ilvl w:val="0"/>
          <w:numId w:val="1"/>
        </w:numPr>
        <w:tabs>
          <w:tab w:pos="839" w:val="left" w:leader="none"/>
          <w:tab w:pos="841" w:val="left" w:leader="none"/>
        </w:tabs>
        <w:spacing w:line="360" w:lineRule="auto" w:before="94" w:after="0"/>
        <w:ind w:left="840" w:right="1158" w:hanging="721"/>
        <w:jc w:val="left"/>
        <w:rPr>
          <w:sz w:val="20"/>
        </w:rPr>
      </w:pPr>
      <w:r>
        <w:rPr>
          <w:sz w:val="20"/>
        </w:rPr>
        <w:t>The KRN Circular states that “</w:t>
      </w:r>
      <w:r>
        <w:rPr>
          <w:i/>
          <w:sz w:val="20"/>
        </w:rPr>
        <w:t>the contents and the sending of this Information Circular have been </w:t>
      </w:r>
      <w:r>
        <w:rPr>
          <w:i/>
          <w:sz w:val="20"/>
        </w:rPr>
        <w:t>approved by all of the directors of the</w:t>
      </w:r>
      <w:r>
        <w:rPr>
          <w:i/>
          <w:spacing w:val="-7"/>
          <w:sz w:val="20"/>
        </w:rPr>
        <w:t> </w:t>
      </w:r>
      <w:r>
        <w:rPr>
          <w:i/>
          <w:sz w:val="20"/>
        </w:rPr>
        <w:t>Company</w:t>
      </w:r>
      <w:r>
        <w:rPr>
          <w:sz w:val="20"/>
        </w:rPr>
        <w:t>”.</w:t>
      </w:r>
    </w:p>
    <w:p>
      <w:pPr>
        <w:spacing w:after="0" w:line="360" w:lineRule="auto"/>
        <w:jc w:val="left"/>
        <w:rPr>
          <w:sz w:val="20"/>
        </w:rPr>
        <w:sectPr>
          <w:pgSz w:w="12240" w:h="15840"/>
          <w:pgMar w:header="0" w:footer="1259" w:top="1220" w:bottom="1440" w:left="1320" w:right="280"/>
        </w:sectPr>
      </w:pPr>
    </w:p>
    <w:p>
      <w:pPr>
        <w:pStyle w:val="Heading1"/>
        <w:numPr>
          <w:ilvl w:val="0"/>
          <w:numId w:val="12"/>
        </w:numPr>
        <w:tabs>
          <w:tab w:pos="839" w:val="left" w:leader="none"/>
          <w:tab w:pos="841" w:val="left" w:leader="none"/>
        </w:tabs>
        <w:spacing w:line="240" w:lineRule="auto" w:before="75" w:after="0"/>
        <w:ind w:left="840" w:right="0" w:hanging="721"/>
        <w:jc w:val="left"/>
      </w:pPr>
      <w:r>
        <w:rPr/>
        <w:pict>
          <v:group style="position:absolute;margin-left:482.686005pt;margin-top:736.765015pt;width:111.05pt;height:47.35pt;mso-position-horizontal-relative:page;mso-position-vertical-relative:page;z-index:251693056" coordorigin="9654,14735" coordsize="2221,947">
            <v:shape style="position:absolute;left:11011;top:14806;width:863;height:876" type="#_x0000_t75" stroked="false">
              <v:imagedata r:id="rId9" o:title=""/>
            </v:shape>
            <v:shape style="position:absolute;left:9653;top:14735;width:1381;height:876" type="#_x0000_t75" stroked="false">
              <v:imagedata r:id="rId10" o:title=""/>
            </v:shape>
            <w10:wrap type="none"/>
          </v:group>
        </w:pict>
      </w:r>
      <w:r>
        <w:rPr>
          <w:u w:val="thick"/>
        </w:rPr>
        <w:t>Recommendations of KRN</w:t>
      </w:r>
      <w:r>
        <w:rPr>
          <w:spacing w:val="-2"/>
          <w:u w:val="thick"/>
        </w:rPr>
        <w:t> </w:t>
      </w:r>
      <w:r>
        <w:rPr>
          <w:u w:val="thick"/>
        </w:rPr>
        <w:t>Board</w:t>
      </w:r>
    </w:p>
    <w:p>
      <w:pPr>
        <w:pStyle w:val="BodyText"/>
        <w:spacing w:before="8"/>
        <w:rPr>
          <w:b/>
          <w:sz w:val="22"/>
        </w:rPr>
      </w:pPr>
    </w:p>
    <w:p>
      <w:pPr>
        <w:pStyle w:val="ListParagraph"/>
        <w:numPr>
          <w:ilvl w:val="0"/>
          <w:numId w:val="1"/>
        </w:numPr>
        <w:tabs>
          <w:tab w:pos="839" w:val="left" w:leader="none"/>
          <w:tab w:pos="841" w:val="left" w:leader="none"/>
        </w:tabs>
        <w:spacing w:line="360" w:lineRule="auto" w:before="94" w:after="0"/>
        <w:ind w:left="840" w:right="1159" w:hanging="721"/>
        <w:jc w:val="left"/>
        <w:rPr>
          <w:sz w:val="20"/>
        </w:rPr>
      </w:pPr>
      <w:r>
        <w:rPr>
          <w:sz w:val="20"/>
        </w:rPr>
        <w:t>I verily believe that the purpose of the recommendations of the KRN Board to vote against the reconstitution of the KRN</w:t>
      </w:r>
      <w:r>
        <w:rPr>
          <w:spacing w:val="-5"/>
          <w:sz w:val="20"/>
        </w:rPr>
        <w:t> </w:t>
      </w:r>
      <w:r>
        <w:rPr>
          <w:sz w:val="20"/>
        </w:rPr>
        <w:t>Board:</w:t>
      </w:r>
    </w:p>
    <w:p>
      <w:pPr>
        <w:pStyle w:val="BodyText"/>
        <w:spacing w:before="11"/>
      </w:pPr>
    </w:p>
    <w:p>
      <w:pPr>
        <w:pStyle w:val="ListParagraph"/>
        <w:numPr>
          <w:ilvl w:val="1"/>
          <w:numId w:val="1"/>
        </w:numPr>
        <w:tabs>
          <w:tab w:pos="1559" w:val="left" w:leader="none"/>
          <w:tab w:pos="1561" w:val="left" w:leader="none"/>
        </w:tabs>
        <w:spacing w:line="350" w:lineRule="auto" w:before="0" w:after="0"/>
        <w:ind w:left="1560" w:right="1156" w:hanging="721"/>
        <w:jc w:val="left"/>
        <w:rPr>
          <w:rFonts w:ascii="Symbol" w:hAnsi="Symbol"/>
          <w:sz w:val="20"/>
        </w:rPr>
      </w:pPr>
      <w:r>
        <w:rPr>
          <w:sz w:val="20"/>
        </w:rPr>
        <w:t>is consistent with the conduct of GSFC, and the GSFC Nominees, while I was President and CEO of</w:t>
      </w:r>
      <w:r>
        <w:rPr>
          <w:spacing w:val="-5"/>
          <w:sz w:val="20"/>
        </w:rPr>
        <w:t> </w:t>
      </w:r>
      <w:r>
        <w:rPr>
          <w:sz w:val="20"/>
        </w:rPr>
        <w:t>KRN;</w:t>
      </w:r>
    </w:p>
    <w:p>
      <w:pPr>
        <w:pStyle w:val="BodyText"/>
        <w:spacing w:before="9"/>
        <w:rPr>
          <w:sz w:val="21"/>
        </w:rPr>
      </w:pPr>
    </w:p>
    <w:p>
      <w:pPr>
        <w:pStyle w:val="ListParagraph"/>
        <w:numPr>
          <w:ilvl w:val="1"/>
          <w:numId w:val="1"/>
        </w:numPr>
        <w:tabs>
          <w:tab w:pos="1559" w:val="left" w:leader="none"/>
          <w:tab w:pos="1561" w:val="left" w:leader="none"/>
        </w:tabs>
        <w:spacing w:line="240" w:lineRule="auto" w:before="0" w:after="0"/>
        <w:ind w:left="1560" w:right="0" w:hanging="721"/>
        <w:jc w:val="left"/>
        <w:rPr>
          <w:rFonts w:ascii="Symbol" w:hAnsi="Symbol"/>
          <w:sz w:val="20"/>
        </w:rPr>
      </w:pPr>
      <w:r>
        <w:rPr>
          <w:sz w:val="20"/>
        </w:rPr>
        <w:t>is designed to maintain the status quo, and GSFC’s control of, the KRN</w:t>
      </w:r>
      <w:r>
        <w:rPr>
          <w:spacing w:val="-16"/>
          <w:sz w:val="20"/>
        </w:rPr>
        <w:t> </w:t>
      </w:r>
      <w:r>
        <w:rPr>
          <w:sz w:val="20"/>
        </w:rPr>
        <w:t>Board:</w:t>
      </w:r>
    </w:p>
    <w:p>
      <w:pPr>
        <w:pStyle w:val="BodyText"/>
        <w:spacing w:before="8"/>
        <w:rPr>
          <w:sz w:val="30"/>
        </w:rPr>
      </w:pPr>
    </w:p>
    <w:p>
      <w:pPr>
        <w:pStyle w:val="ListParagraph"/>
        <w:numPr>
          <w:ilvl w:val="1"/>
          <w:numId w:val="1"/>
        </w:numPr>
        <w:tabs>
          <w:tab w:pos="1560" w:val="left" w:leader="none"/>
          <w:tab w:pos="1561" w:val="left" w:leader="none"/>
        </w:tabs>
        <w:spacing w:line="350" w:lineRule="auto" w:before="0" w:after="0"/>
        <w:ind w:left="1560" w:right="1155" w:hanging="721"/>
        <w:jc w:val="left"/>
        <w:rPr>
          <w:rFonts w:ascii="Symbol" w:hAnsi="Symbol"/>
          <w:sz w:val="20"/>
        </w:rPr>
      </w:pPr>
      <w:r>
        <w:rPr>
          <w:sz w:val="20"/>
        </w:rPr>
        <w:t>is</w:t>
      </w:r>
      <w:r>
        <w:rPr>
          <w:spacing w:val="-13"/>
          <w:sz w:val="20"/>
        </w:rPr>
        <w:t> </w:t>
      </w:r>
      <w:r>
        <w:rPr>
          <w:sz w:val="20"/>
        </w:rPr>
        <w:t>further</w:t>
      </w:r>
      <w:r>
        <w:rPr>
          <w:spacing w:val="-13"/>
          <w:sz w:val="20"/>
        </w:rPr>
        <w:t> </w:t>
      </w:r>
      <w:r>
        <w:rPr>
          <w:sz w:val="20"/>
        </w:rPr>
        <w:t>evidence</w:t>
      </w:r>
      <w:r>
        <w:rPr>
          <w:spacing w:val="-14"/>
          <w:sz w:val="20"/>
        </w:rPr>
        <w:t> </w:t>
      </w:r>
      <w:r>
        <w:rPr>
          <w:sz w:val="20"/>
        </w:rPr>
        <w:t>of</w:t>
      </w:r>
      <w:r>
        <w:rPr>
          <w:spacing w:val="-13"/>
          <w:sz w:val="20"/>
        </w:rPr>
        <w:t> </w:t>
      </w:r>
      <w:r>
        <w:rPr>
          <w:sz w:val="20"/>
        </w:rPr>
        <w:t>the</w:t>
      </w:r>
      <w:r>
        <w:rPr>
          <w:spacing w:val="-14"/>
          <w:sz w:val="20"/>
        </w:rPr>
        <w:t> </w:t>
      </w:r>
      <w:r>
        <w:rPr>
          <w:sz w:val="20"/>
        </w:rPr>
        <w:t>clear</w:t>
      </w:r>
      <w:r>
        <w:rPr>
          <w:spacing w:val="-13"/>
          <w:sz w:val="20"/>
        </w:rPr>
        <w:t> </w:t>
      </w:r>
      <w:r>
        <w:rPr>
          <w:sz w:val="20"/>
        </w:rPr>
        <w:t>intention</w:t>
      </w:r>
      <w:r>
        <w:rPr>
          <w:spacing w:val="-15"/>
          <w:sz w:val="20"/>
        </w:rPr>
        <w:t> </w:t>
      </w:r>
      <w:r>
        <w:rPr>
          <w:sz w:val="20"/>
        </w:rPr>
        <w:t>of</w:t>
      </w:r>
      <w:r>
        <w:rPr>
          <w:spacing w:val="-13"/>
          <w:sz w:val="20"/>
        </w:rPr>
        <w:t> </w:t>
      </w:r>
      <w:r>
        <w:rPr>
          <w:sz w:val="20"/>
        </w:rPr>
        <w:t>GSFC,</w:t>
      </w:r>
      <w:r>
        <w:rPr>
          <w:spacing w:val="-14"/>
          <w:sz w:val="20"/>
        </w:rPr>
        <w:t> </w:t>
      </w:r>
      <w:r>
        <w:rPr>
          <w:sz w:val="20"/>
        </w:rPr>
        <w:t>and</w:t>
      </w:r>
      <w:r>
        <w:rPr>
          <w:spacing w:val="-14"/>
          <w:sz w:val="20"/>
        </w:rPr>
        <w:t> </w:t>
      </w:r>
      <w:r>
        <w:rPr>
          <w:sz w:val="20"/>
        </w:rPr>
        <w:t>the</w:t>
      </w:r>
      <w:r>
        <w:rPr>
          <w:spacing w:val="-13"/>
          <w:sz w:val="20"/>
        </w:rPr>
        <w:t> </w:t>
      </w:r>
      <w:r>
        <w:rPr>
          <w:sz w:val="20"/>
        </w:rPr>
        <w:t>GSFC</w:t>
      </w:r>
      <w:r>
        <w:rPr>
          <w:spacing w:val="-13"/>
          <w:sz w:val="20"/>
        </w:rPr>
        <w:t> </w:t>
      </w:r>
      <w:r>
        <w:rPr>
          <w:sz w:val="20"/>
        </w:rPr>
        <w:t>Nominees,</w:t>
      </w:r>
      <w:r>
        <w:rPr>
          <w:spacing w:val="-14"/>
          <w:sz w:val="20"/>
        </w:rPr>
        <w:t> </w:t>
      </w:r>
      <w:r>
        <w:rPr>
          <w:sz w:val="20"/>
        </w:rPr>
        <w:t>to</w:t>
      </w:r>
      <w:r>
        <w:rPr>
          <w:spacing w:val="-14"/>
          <w:sz w:val="20"/>
        </w:rPr>
        <w:t> </w:t>
      </w:r>
      <w:r>
        <w:rPr>
          <w:sz w:val="20"/>
        </w:rPr>
        <w:t>keep</w:t>
      </w:r>
      <w:r>
        <w:rPr>
          <w:spacing w:val="-13"/>
          <w:sz w:val="20"/>
        </w:rPr>
        <w:t> </w:t>
      </w:r>
      <w:r>
        <w:rPr>
          <w:sz w:val="20"/>
        </w:rPr>
        <w:t>control of the KRN</w:t>
      </w:r>
      <w:r>
        <w:rPr>
          <w:spacing w:val="-2"/>
          <w:sz w:val="20"/>
        </w:rPr>
        <w:t> </w:t>
      </w:r>
      <w:r>
        <w:rPr>
          <w:sz w:val="20"/>
        </w:rPr>
        <w:t>Board;</w:t>
      </w:r>
    </w:p>
    <w:p>
      <w:pPr>
        <w:pStyle w:val="BodyText"/>
        <w:spacing w:before="8"/>
        <w:rPr>
          <w:sz w:val="21"/>
        </w:rPr>
      </w:pPr>
    </w:p>
    <w:p>
      <w:pPr>
        <w:pStyle w:val="ListParagraph"/>
        <w:numPr>
          <w:ilvl w:val="1"/>
          <w:numId w:val="1"/>
        </w:numPr>
        <w:tabs>
          <w:tab w:pos="1560" w:val="left" w:leader="none"/>
          <w:tab w:pos="1561" w:val="left" w:leader="none"/>
        </w:tabs>
        <w:spacing w:line="240" w:lineRule="auto" w:before="0" w:after="0"/>
        <w:ind w:left="1560" w:right="0" w:hanging="721"/>
        <w:jc w:val="left"/>
        <w:rPr>
          <w:rFonts w:ascii="Symbol" w:hAnsi="Symbol"/>
          <w:sz w:val="20"/>
        </w:rPr>
      </w:pPr>
      <w:r>
        <w:rPr>
          <w:sz w:val="20"/>
        </w:rPr>
        <w:t>is designed to continue the entrenchment of the KRN Board and</w:t>
      </w:r>
      <w:r>
        <w:rPr>
          <w:spacing w:val="-16"/>
          <w:sz w:val="20"/>
        </w:rPr>
        <w:t> </w:t>
      </w:r>
      <w:r>
        <w:rPr>
          <w:sz w:val="20"/>
        </w:rPr>
        <w:t>management;</w:t>
      </w:r>
    </w:p>
    <w:p>
      <w:pPr>
        <w:pStyle w:val="BodyText"/>
        <w:spacing w:before="9"/>
        <w:rPr>
          <w:sz w:val="30"/>
        </w:rPr>
      </w:pPr>
    </w:p>
    <w:p>
      <w:pPr>
        <w:pStyle w:val="ListParagraph"/>
        <w:numPr>
          <w:ilvl w:val="1"/>
          <w:numId w:val="1"/>
        </w:numPr>
        <w:tabs>
          <w:tab w:pos="1560" w:val="left" w:leader="none"/>
          <w:tab w:pos="1561" w:val="left" w:leader="none"/>
        </w:tabs>
        <w:spacing w:line="350" w:lineRule="auto" w:before="0" w:after="0"/>
        <w:ind w:left="1560" w:right="1157" w:hanging="721"/>
        <w:jc w:val="left"/>
        <w:rPr>
          <w:rFonts w:ascii="Symbol" w:hAnsi="Symbol"/>
          <w:sz w:val="20"/>
        </w:rPr>
      </w:pPr>
      <w:r>
        <w:rPr>
          <w:sz w:val="20"/>
        </w:rPr>
        <w:t>continues</w:t>
      </w:r>
      <w:r>
        <w:rPr>
          <w:spacing w:val="-10"/>
          <w:sz w:val="20"/>
        </w:rPr>
        <w:t> </w:t>
      </w:r>
      <w:r>
        <w:rPr>
          <w:sz w:val="20"/>
        </w:rPr>
        <w:t>and</w:t>
      </w:r>
      <w:r>
        <w:rPr>
          <w:spacing w:val="-10"/>
          <w:sz w:val="20"/>
        </w:rPr>
        <w:t> </w:t>
      </w:r>
      <w:r>
        <w:rPr>
          <w:sz w:val="20"/>
        </w:rPr>
        <w:t>perpetuates</w:t>
      </w:r>
      <w:r>
        <w:rPr>
          <w:spacing w:val="-11"/>
          <w:sz w:val="20"/>
        </w:rPr>
        <w:t> </w:t>
      </w:r>
      <w:r>
        <w:rPr>
          <w:sz w:val="20"/>
        </w:rPr>
        <w:t>the</w:t>
      </w:r>
      <w:r>
        <w:rPr>
          <w:spacing w:val="-10"/>
          <w:sz w:val="20"/>
        </w:rPr>
        <w:t> </w:t>
      </w:r>
      <w:r>
        <w:rPr>
          <w:sz w:val="20"/>
        </w:rPr>
        <w:t>very</w:t>
      </w:r>
      <w:r>
        <w:rPr>
          <w:spacing w:val="-9"/>
          <w:sz w:val="20"/>
        </w:rPr>
        <w:t> </w:t>
      </w:r>
      <w:r>
        <w:rPr>
          <w:sz w:val="20"/>
        </w:rPr>
        <w:t>activity</w:t>
      </w:r>
      <w:r>
        <w:rPr>
          <w:spacing w:val="-9"/>
          <w:sz w:val="20"/>
        </w:rPr>
        <w:t> </w:t>
      </w:r>
      <w:r>
        <w:rPr>
          <w:sz w:val="20"/>
        </w:rPr>
        <w:t>the</w:t>
      </w:r>
      <w:r>
        <w:rPr>
          <w:spacing w:val="-10"/>
          <w:sz w:val="20"/>
        </w:rPr>
        <w:t> </w:t>
      </w:r>
      <w:r>
        <w:rPr>
          <w:sz w:val="20"/>
        </w:rPr>
        <w:t>Concerned</w:t>
      </w:r>
      <w:r>
        <w:rPr>
          <w:spacing w:val="-10"/>
          <w:sz w:val="20"/>
        </w:rPr>
        <w:t> </w:t>
      </w:r>
      <w:r>
        <w:rPr>
          <w:sz w:val="20"/>
        </w:rPr>
        <w:t>Shareholders</w:t>
      </w:r>
      <w:r>
        <w:rPr>
          <w:spacing w:val="-9"/>
          <w:sz w:val="20"/>
        </w:rPr>
        <w:t> </w:t>
      </w:r>
      <w:r>
        <w:rPr>
          <w:sz w:val="20"/>
        </w:rPr>
        <w:t>are</w:t>
      </w:r>
      <w:r>
        <w:rPr>
          <w:spacing w:val="-10"/>
          <w:sz w:val="20"/>
        </w:rPr>
        <w:t> </w:t>
      </w:r>
      <w:r>
        <w:rPr>
          <w:sz w:val="20"/>
        </w:rPr>
        <w:t>trying</w:t>
      </w:r>
      <w:r>
        <w:rPr>
          <w:spacing w:val="-10"/>
          <w:sz w:val="20"/>
        </w:rPr>
        <w:t> </w:t>
      </w:r>
      <w:r>
        <w:rPr>
          <w:sz w:val="20"/>
        </w:rPr>
        <w:t>to</w:t>
      </w:r>
      <w:r>
        <w:rPr>
          <w:spacing w:val="-10"/>
          <w:sz w:val="20"/>
        </w:rPr>
        <w:t> </w:t>
      </w:r>
      <w:r>
        <w:rPr>
          <w:sz w:val="20"/>
        </w:rPr>
        <w:t>stop; and</w:t>
      </w:r>
    </w:p>
    <w:p>
      <w:pPr>
        <w:pStyle w:val="BodyText"/>
        <w:spacing w:before="8"/>
        <w:rPr>
          <w:sz w:val="21"/>
        </w:rPr>
      </w:pPr>
    </w:p>
    <w:p>
      <w:pPr>
        <w:pStyle w:val="ListParagraph"/>
        <w:numPr>
          <w:ilvl w:val="1"/>
          <w:numId w:val="1"/>
        </w:numPr>
        <w:tabs>
          <w:tab w:pos="1560" w:val="left" w:leader="none"/>
          <w:tab w:pos="1561" w:val="left" w:leader="none"/>
        </w:tabs>
        <w:spacing w:line="350" w:lineRule="auto" w:before="0" w:after="0"/>
        <w:ind w:left="1560" w:right="1155" w:hanging="721"/>
        <w:jc w:val="left"/>
        <w:rPr>
          <w:rFonts w:ascii="Symbol" w:hAnsi="Symbol"/>
          <w:sz w:val="20"/>
        </w:rPr>
      </w:pPr>
      <w:r>
        <w:rPr>
          <w:sz w:val="20"/>
        </w:rPr>
        <w:t>sets</w:t>
      </w:r>
      <w:r>
        <w:rPr>
          <w:spacing w:val="-11"/>
          <w:sz w:val="20"/>
        </w:rPr>
        <w:t> </w:t>
      </w:r>
      <w:r>
        <w:rPr>
          <w:sz w:val="20"/>
        </w:rPr>
        <w:t>out</w:t>
      </w:r>
      <w:r>
        <w:rPr>
          <w:spacing w:val="-12"/>
          <w:sz w:val="20"/>
        </w:rPr>
        <w:t> </w:t>
      </w:r>
      <w:r>
        <w:rPr>
          <w:sz w:val="20"/>
        </w:rPr>
        <w:t>a</w:t>
      </w:r>
      <w:r>
        <w:rPr>
          <w:spacing w:val="-11"/>
          <w:sz w:val="20"/>
        </w:rPr>
        <w:t> </w:t>
      </w:r>
      <w:r>
        <w:rPr>
          <w:sz w:val="20"/>
        </w:rPr>
        <w:t>series</w:t>
      </w:r>
      <w:r>
        <w:rPr>
          <w:spacing w:val="-11"/>
          <w:sz w:val="20"/>
        </w:rPr>
        <w:t> </w:t>
      </w:r>
      <w:r>
        <w:rPr>
          <w:sz w:val="20"/>
        </w:rPr>
        <w:t>of</w:t>
      </w:r>
      <w:r>
        <w:rPr>
          <w:spacing w:val="-12"/>
          <w:sz w:val="20"/>
        </w:rPr>
        <w:t> </w:t>
      </w:r>
      <w:r>
        <w:rPr>
          <w:sz w:val="20"/>
        </w:rPr>
        <w:t>falsehoods</w:t>
      </w:r>
      <w:r>
        <w:rPr>
          <w:spacing w:val="-11"/>
          <w:sz w:val="20"/>
        </w:rPr>
        <w:t> </w:t>
      </w:r>
      <w:r>
        <w:rPr>
          <w:sz w:val="20"/>
        </w:rPr>
        <w:t>and</w:t>
      </w:r>
      <w:r>
        <w:rPr>
          <w:spacing w:val="-11"/>
          <w:sz w:val="20"/>
        </w:rPr>
        <w:t> </w:t>
      </w:r>
      <w:r>
        <w:rPr>
          <w:sz w:val="20"/>
        </w:rPr>
        <w:t>misrepresentations</w:t>
      </w:r>
      <w:r>
        <w:rPr>
          <w:spacing w:val="-11"/>
          <w:sz w:val="20"/>
        </w:rPr>
        <w:t> </w:t>
      </w:r>
      <w:r>
        <w:rPr>
          <w:sz w:val="20"/>
        </w:rPr>
        <w:t>regarding</w:t>
      </w:r>
      <w:r>
        <w:rPr>
          <w:spacing w:val="-10"/>
          <w:sz w:val="20"/>
        </w:rPr>
        <w:t> </w:t>
      </w:r>
      <w:r>
        <w:rPr>
          <w:sz w:val="20"/>
        </w:rPr>
        <w:t>the</w:t>
      </w:r>
      <w:r>
        <w:rPr>
          <w:spacing w:val="-11"/>
          <w:sz w:val="20"/>
        </w:rPr>
        <w:t> </w:t>
      </w:r>
      <w:r>
        <w:rPr>
          <w:sz w:val="20"/>
        </w:rPr>
        <w:t>activities</w:t>
      </w:r>
      <w:r>
        <w:rPr>
          <w:spacing w:val="-11"/>
          <w:sz w:val="20"/>
        </w:rPr>
        <w:t> </w:t>
      </w:r>
      <w:r>
        <w:rPr>
          <w:sz w:val="20"/>
        </w:rPr>
        <w:t>of</w:t>
      </w:r>
      <w:r>
        <w:rPr>
          <w:spacing w:val="-11"/>
          <w:sz w:val="20"/>
        </w:rPr>
        <w:t> </w:t>
      </w:r>
      <w:r>
        <w:rPr>
          <w:sz w:val="20"/>
        </w:rPr>
        <w:t>Karnalyte over</w:t>
      </w:r>
      <w:r>
        <w:rPr>
          <w:spacing w:val="-9"/>
          <w:sz w:val="20"/>
        </w:rPr>
        <w:t> </w:t>
      </w:r>
      <w:r>
        <w:rPr>
          <w:sz w:val="20"/>
        </w:rPr>
        <w:t>the</w:t>
      </w:r>
      <w:r>
        <w:rPr>
          <w:spacing w:val="-9"/>
          <w:sz w:val="20"/>
        </w:rPr>
        <w:t> </w:t>
      </w:r>
      <w:r>
        <w:rPr>
          <w:sz w:val="20"/>
        </w:rPr>
        <w:t>past</w:t>
      </w:r>
      <w:r>
        <w:rPr>
          <w:spacing w:val="-10"/>
          <w:sz w:val="20"/>
        </w:rPr>
        <w:t> </w:t>
      </w:r>
      <w:r>
        <w:rPr>
          <w:sz w:val="20"/>
        </w:rPr>
        <w:t>two</w:t>
      </w:r>
      <w:r>
        <w:rPr>
          <w:spacing w:val="-8"/>
          <w:sz w:val="20"/>
        </w:rPr>
        <w:t> </w:t>
      </w:r>
      <w:r>
        <w:rPr>
          <w:sz w:val="20"/>
        </w:rPr>
        <w:t>(2)</w:t>
      </w:r>
      <w:r>
        <w:rPr>
          <w:spacing w:val="-10"/>
          <w:sz w:val="20"/>
        </w:rPr>
        <w:t> </w:t>
      </w:r>
      <w:r>
        <w:rPr>
          <w:sz w:val="20"/>
        </w:rPr>
        <w:t>years,</w:t>
      </w:r>
      <w:r>
        <w:rPr>
          <w:spacing w:val="-11"/>
          <w:sz w:val="20"/>
        </w:rPr>
        <w:t> </w:t>
      </w:r>
      <w:r>
        <w:rPr>
          <w:sz w:val="20"/>
        </w:rPr>
        <w:t>including</w:t>
      </w:r>
      <w:r>
        <w:rPr>
          <w:spacing w:val="-8"/>
          <w:sz w:val="20"/>
        </w:rPr>
        <w:t> </w:t>
      </w:r>
      <w:r>
        <w:rPr>
          <w:sz w:val="20"/>
        </w:rPr>
        <w:t>during</w:t>
      </w:r>
      <w:r>
        <w:rPr>
          <w:spacing w:val="-9"/>
          <w:sz w:val="20"/>
        </w:rPr>
        <w:t> </w:t>
      </w:r>
      <w:r>
        <w:rPr>
          <w:sz w:val="20"/>
        </w:rPr>
        <w:t>the</w:t>
      </w:r>
      <w:r>
        <w:rPr>
          <w:spacing w:val="-9"/>
          <w:sz w:val="20"/>
        </w:rPr>
        <w:t> </w:t>
      </w:r>
      <w:r>
        <w:rPr>
          <w:sz w:val="20"/>
        </w:rPr>
        <w:t>time</w:t>
      </w:r>
      <w:r>
        <w:rPr>
          <w:spacing w:val="-9"/>
          <w:sz w:val="20"/>
        </w:rPr>
        <w:t> </w:t>
      </w:r>
      <w:r>
        <w:rPr>
          <w:sz w:val="20"/>
        </w:rPr>
        <w:t>I</w:t>
      </w:r>
      <w:r>
        <w:rPr>
          <w:spacing w:val="-7"/>
          <w:sz w:val="20"/>
        </w:rPr>
        <w:t> </w:t>
      </w:r>
      <w:r>
        <w:rPr>
          <w:sz w:val="20"/>
        </w:rPr>
        <w:t>was</w:t>
      </w:r>
      <w:r>
        <w:rPr>
          <w:spacing w:val="-8"/>
          <w:sz w:val="20"/>
        </w:rPr>
        <w:t> </w:t>
      </w:r>
      <w:r>
        <w:rPr>
          <w:sz w:val="20"/>
        </w:rPr>
        <w:t>the</w:t>
      </w:r>
      <w:r>
        <w:rPr>
          <w:spacing w:val="-9"/>
          <w:sz w:val="20"/>
        </w:rPr>
        <w:t> </w:t>
      </w:r>
      <w:r>
        <w:rPr>
          <w:sz w:val="20"/>
        </w:rPr>
        <w:t>President</w:t>
      </w:r>
      <w:r>
        <w:rPr>
          <w:spacing w:val="-10"/>
          <w:sz w:val="20"/>
        </w:rPr>
        <w:t> </w:t>
      </w:r>
      <w:r>
        <w:rPr>
          <w:sz w:val="20"/>
        </w:rPr>
        <w:t>and</w:t>
      </w:r>
      <w:r>
        <w:rPr>
          <w:spacing w:val="-8"/>
          <w:sz w:val="20"/>
        </w:rPr>
        <w:t> </w:t>
      </w:r>
      <w:r>
        <w:rPr>
          <w:sz w:val="20"/>
        </w:rPr>
        <w:t>CEO</w:t>
      </w:r>
      <w:r>
        <w:rPr>
          <w:spacing w:val="-9"/>
          <w:sz w:val="20"/>
        </w:rPr>
        <w:t> </w:t>
      </w:r>
      <w:r>
        <w:rPr>
          <w:sz w:val="20"/>
        </w:rPr>
        <w:t>of</w:t>
      </w:r>
      <w:r>
        <w:rPr>
          <w:spacing w:val="-10"/>
          <w:sz w:val="20"/>
        </w:rPr>
        <w:t> </w:t>
      </w:r>
      <w:r>
        <w:rPr>
          <w:sz w:val="20"/>
        </w:rPr>
        <w:t>KRN.</w:t>
      </w:r>
    </w:p>
    <w:p>
      <w:pPr>
        <w:pStyle w:val="BodyText"/>
        <w:spacing w:before="8"/>
        <w:rPr>
          <w:sz w:val="21"/>
        </w:rPr>
      </w:pPr>
    </w:p>
    <w:p>
      <w:pPr>
        <w:pStyle w:val="Heading1"/>
        <w:numPr>
          <w:ilvl w:val="0"/>
          <w:numId w:val="12"/>
        </w:numPr>
        <w:tabs>
          <w:tab w:pos="839" w:val="left" w:leader="none"/>
          <w:tab w:pos="841" w:val="left" w:leader="none"/>
        </w:tabs>
        <w:spacing w:line="240" w:lineRule="auto" w:before="1" w:after="0"/>
        <w:ind w:left="840" w:right="0" w:hanging="721"/>
        <w:jc w:val="left"/>
      </w:pPr>
      <w:r>
        <w:rPr>
          <w:u w:val="thick"/>
        </w:rPr>
        <w:t>Misrepresentations in the KRN</w:t>
      </w:r>
      <w:r>
        <w:rPr>
          <w:spacing w:val="-4"/>
          <w:u w:val="thick"/>
        </w:rPr>
        <w:t> </w:t>
      </w:r>
      <w:r>
        <w:rPr>
          <w:u w:val="thick"/>
        </w:rPr>
        <w:t>Circular</w:t>
      </w:r>
    </w:p>
    <w:p>
      <w:pPr>
        <w:pStyle w:val="BodyText"/>
        <w:spacing w:before="7"/>
        <w:rPr>
          <w:b/>
          <w:sz w:val="22"/>
        </w:rPr>
      </w:pPr>
    </w:p>
    <w:p>
      <w:pPr>
        <w:pStyle w:val="ListParagraph"/>
        <w:numPr>
          <w:ilvl w:val="0"/>
          <w:numId w:val="1"/>
        </w:numPr>
        <w:tabs>
          <w:tab w:pos="841" w:val="left" w:leader="none"/>
        </w:tabs>
        <w:spacing w:line="360" w:lineRule="auto" w:before="94" w:after="0"/>
        <w:ind w:left="839" w:right="1155" w:hanging="720"/>
        <w:jc w:val="both"/>
        <w:rPr>
          <w:sz w:val="20"/>
        </w:rPr>
      </w:pPr>
      <w:r>
        <w:rPr>
          <w:sz w:val="20"/>
        </w:rPr>
        <w:t>I verily believe that, given each of the members of the KRN Board have knowingly, and willingly, approved the “</w:t>
      </w:r>
      <w:r>
        <w:rPr>
          <w:i/>
          <w:sz w:val="20"/>
        </w:rPr>
        <w:t>contents</w:t>
      </w:r>
      <w:r>
        <w:rPr>
          <w:sz w:val="20"/>
        </w:rPr>
        <w:t>” of the KRN Circular, they have each knowingly, and willingly, made the misrepresentations contained in the KRN Circular, as if they made them</w:t>
      </w:r>
      <w:r>
        <w:rPr>
          <w:spacing w:val="-17"/>
          <w:sz w:val="20"/>
        </w:rPr>
        <w:t> </w:t>
      </w:r>
      <w:r>
        <w:rPr>
          <w:sz w:val="20"/>
        </w:rPr>
        <w:t>themselves.</w:t>
      </w:r>
    </w:p>
    <w:p>
      <w:pPr>
        <w:pStyle w:val="BodyText"/>
        <w:spacing w:before="9"/>
      </w:pPr>
    </w:p>
    <w:p>
      <w:pPr>
        <w:pStyle w:val="ListParagraph"/>
        <w:numPr>
          <w:ilvl w:val="0"/>
          <w:numId w:val="1"/>
        </w:numPr>
        <w:tabs>
          <w:tab w:pos="840" w:val="left" w:leader="none"/>
        </w:tabs>
        <w:spacing w:line="360" w:lineRule="auto" w:before="1" w:after="0"/>
        <w:ind w:left="839" w:right="1156" w:hanging="721"/>
        <w:jc w:val="both"/>
        <w:rPr>
          <w:sz w:val="20"/>
        </w:rPr>
      </w:pPr>
      <w:r>
        <w:rPr>
          <w:sz w:val="20"/>
        </w:rPr>
        <w:t>The Concerned Shareholders issued two press releases related to the misrepresentations in the KRN</w:t>
      </w:r>
      <w:r>
        <w:rPr>
          <w:spacing w:val="-15"/>
          <w:sz w:val="20"/>
        </w:rPr>
        <w:t> </w:t>
      </w:r>
      <w:r>
        <w:rPr>
          <w:sz w:val="20"/>
        </w:rPr>
        <w:t>Circular.</w:t>
      </w:r>
      <w:r>
        <w:rPr>
          <w:spacing w:val="-15"/>
          <w:sz w:val="20"/>
        </w:rPr>
        <w:t> </w:t>
      </w:r>
      <w:r>
        <w:rPr>
          <w:sz w:val="20"/>
        </w:rPr>
        <w:t>Attached</w:t>
      </w:r>
      <w:r>
        <w:rPr>
          <w:spacing w:val="-15"/>
          <w:sz w:val="20"/>
        </w:rPr>
        <w:t> </w:t>
      </w:r>
      <w:r>
        <w:rPr>
          <w:sz w:val="20"/>
        </w:rPr>
        <w:t>and</w:t>
      </w:r>
      <w:r>
        <w:rPr>
          <w:spacing w:val="-15"/>
          <w:sz w:val="20"/>
        </w:rPr>
        <w:t> </w:t>
      </w:r>
      <w:r>
        <w:rPr>
          <w:sz w:val="20"/>
        </w:rPr>
        <w:t>marked</w:t>
      </w:r>
      <w:r>
        <w:rPr>
          <w:spacing w:val="-15"/>
          <w:sz w:val="20"/>
        </w:rPr>
        <w:t> </w:t>
      </w:r>
      <w:r>
        <w:rPr>
          <w:sz w:val="20"/>
        </w:rPr>
        <w:t>as</w:t>
      </w:r>
      <w:r>
        <w:rPr>
          <w:spacing w:val="-14"/>
          <w:sz w:val="20"/>
        </w:rPr>
        <w:t> </w:t>
      </w:r>
      <w:r>
        <w:rPr>
          <w:b/>
          <w:sz w:val="20"/>
        </w:rPr>
        <w:t>Exhibit</w:t>
      </w:r>
      <w:r>
        <w:rPr>
          <w:b/>
          <w:spacing w:val="-14"/>
          <w:sz w:val="20"/>
        </w:rPr>
        <w:t> </w:t>
      </w:r>
      <w:r>
        <w:rPr>
          <w:b/>
          <w:sz w:val="20"/>
        </w:rPr>
        <w:t>“SS”</w:t>
      </w:r>
      <w:r>
        <w:rPr>
          <w:b/>
          <w:spacing w:val="-13"/>
          <w:sz w:val="20"/>
        </w:rPr>
        <w:t> </w:t>
      </w:r>
      <w:r>
        <w:rPr>
          <w:sz w:val="20"/>
        </w:rPr>
        <w:t>to</w:t>
      </w:r>
      <w:r>
        <w:rPr>
          <w:spacing w:val="-14"/>
          <w:sz w:val="20"/>
        </w:rPr>
        <w:t> </w:t>
      </w:r>
      <w:r>
        <w:rPr>
          <w:sz w:val="20"/>
        </w:rPr>
        <w:t>the</w:t>
      </w:r>
      <w:r>
        <w:rPr>
          <w:spacing w:val="-15"/>
          <w:sz w:val="20"/>
        </w:rPr>
        <w:t> </w:t>
      </w:r>
      <w:r>
        <w:rPr>
          <w:sz w:val="20"/>
        </w:rPr>
        <w:t>FDW</w:t>
      </w:r>
      <w:r>
        <w:rPr>
          <w:spacing w:val="-13"/>
          <w:sz w:val="20"/>
        </w:rPr>
        <w:t> </w:t>
      </w:r>
      <w:r>
        <w:rPr>
          <w:sz w:val="20"/>
        </w:rPr>
        <w:t>Affidvit</w:t>
      </w:r>
      <w:r>
        <w:rPr>
          <w:spacing w:val="-15"/>
          <w:sz w:val="20"/>
        </w:rPr>
        <w:t> </w:t>
      </w:r>
      <w:r>
        <w:rPr>
          <w:sz w:val="20"/>
        </w:rPr>
        <w:t>is</w:t>
      </w:r>
      <w:r>
        <w:rPr>
          <w:spacing w:val="-13"/>
          <w:sz w:val="20"/>
        </w:rPr>
        <w:t> </w:t>
      </w:r>
      <w:r>
        <w:rPr>
          <w:sz w:val="20"/>
        </w:rPr>
        <w:t>a</w:t>
      </w:r>
      <w:r>
        <w:rPr>
          <w:spacing w:val="-16"/>
          <w:sz w:val="20"/>
        </w:rPr>
        <w:t> </w:t>
      </w:r>
      <w:r>
        <w:rPr>
          <w:sz w:val="20"/>
        </w:rPr>
        <w:t>copy</w:t>
      </w:r>
      <w:r>
        <w:rPr>
          <w:spacing w:val="-15"/>
          <w:sz w:val="20"/>
        </w:rPr>
        <w:t> </w:t>
      </w:r>
      <w:r>
        <w:rPr>
          <w:sz w:val="20"/>
        </w:rPr>
        <w:t>of</w:t>
      </w:r>
      <w:r>
        <w:rPr>
          <w:spacing w:val="-14"/>
          <w:sz w:val="20"/>
        </w:rPr>
        <w:t> </w:t>
      </w:r>
      <w:r>
        <w:rPr>
          <w:sz w:val="20"/>
        </w:rPr>
        <w:t>the</w:t>
      </w:r>
      <w:r>
        <w:rPr>
          <w:spacing w:val="-15"/>
          <w:sz w:val="20"/>
        </w:rPr>
        <w:t> </w:t>
      </w:r>
      <w:r>
        <w:rPr>
          <w:sz w:val="20"/>
        </w:rPr>
        <w:t>Concerned Shareholders’ press release of November 26, 2020. Attached and marked as </w:t>
      </w:r>
      <w:r>
        <w:rPr>
          <w:b/>
          <w:sz w:val="20"/>
        </w:rPr>
        <w:t>Exhibit “TT” </w:t>
      </w:r>
      <w:r>
        <w:rPr>
          <w:sz w:val="20"/>
        </w:rPr>
        <w:t>to the FDW Affidavit is a copy of the Concerned Shareholders’ press release of December 4,</w:t>
      </w:r>
      <w:r>
        <w:rPr>
          <w:spacing w:val="-28"/>
          <w:sz w:val="20"/>
        </w:rPr>
        <w:t> </w:t>
      </w:r>
      <w:r>
        <w:rPr>
          <w:sz w:val="20"/>
        </w:rPr>
        <w:t>2020.</w:t>
      </w:r>
    </w:p>
    <w:p>
      <w:pPr>
        <w:pStyle w:val="BodyText"/>
        <w:spacing w:before="9"/>
      </w:pPr>
    </w:p>
    <w:p>
      <w:pPr>
        <w:pStyle w:val="ListParagraph"/>
        <w:numPr>
          <w:ilvl w:val="0"/>
          <w:numId w:val="13"/>
        </w:numPr>
        <w:tabs>
          <w:tab w:pos="1559" w:val="left" w:leader="none"/>
          <w:tab w:pos="1561" w:val="left" w:leader="none"/>
        </w:tabs>
        <w:spacing w:line="240" w:lineRule="auto" w:before="1" w:after="0"/>
        <w:ind w:left="1560" w:right="0" w:hanging="721"/>
        <w:jc w:val="left"/>
        <w:rPr>
          <w:sz w:val="20"/>
        </w:rPr>
      </w:pPr>
      <w:r>
        <w:rPr>
          <w:sz w:val="20"/>
          <w:u w:val="single"/>
        </w:rPr>
        <w:t>Favreau’s Falsified</w:t>
      </w:r>
      <w:r>
        <w:rPr>
          <w:spacing w:val="-2"/>
          <w:sz w:val="20"/>
          <w:u w:val="single"/>
        </w:rPr>
        <w:t> </w:t>
      </w:r>
      <w:r>
        <w:rPr>
          <w:sz w:val="20"/>
          <w:u w:val="single"/>
        </w:rPr>
        <w:t>Resume</w:t>
      </w:r>
    </w:p>
    <w:p>
      <w:pPr>
        <w:pStyle w:val="BodyText"/>
        <w:spacing w:before="8"/>
        <w:rPr>
          <w:sz w:val="15"/>
        </w:rPr>
      </w:pPr>
    </w:p>
    <w:p>
      <w:pPr>
        <w:pStyle w:val="ListParagraph"/>
        <w:numPr>
          <w:ilvl w:val="0"/>
          <w:numId w:val="1"/>
        </w:numPr>
        <w:tabs>
          <w:tab w:pos="841" w:val="left" w:leader="none"/>
        </w:tabs>
        <w:spacing w:line="360" w:lineRule="auto" w:before="94" w:after="0"/>
        <w:ind w:left="840" w:right="1155" w:hanging="721"/>
        <w:jc w:val="both"/>
        <w:rPr>
          <w:sz w:val="20"/>
        </w:rPr>
      </w:pPr>
      <w:r>
        <w:rPr>
          <w:sz w:val="20"/>
        </w:rPr>
        <w:t>I</w:t>
      </w:r>
      <w:r>
        <w:rPr>
          <w:spacing w:val="-14"/>
          <w:sz w:val="20"/>
        </w:rPr>
        <w:t> </w:t>
      </w:r>
      <w:r>
        <w:rPr>
          <w:sz w:val="20"/>
        </w:rPr>
        <w:t>verily</w:t>
      </w:r>
      <w:r>
        <w:rPr>
          <w:spacing w:val="-12"/>
          <w:sz w:val="20"/>
        </w:rPr>
        <w:t> </w:t>
      </w:r>
      <w:r>
        <w:rPr>
          <w:sz w:val="20"/>
        </w:rPr>
        <w:t>believe</w:t>
      </w:r>
      <w:r>
        <w:rPr>
          <w:spacing w:val="-12"/>
          <w:sz w:val="20"/>
        </w:rPr>
        <w:t> </w:t>
      </w:r>
      <w:r>
        <w:rPr>
          <w:sz w:val="20"/>
        </w:rPr>
        <w:t>that</w:t>
      </w:r>
      <w:r>
        <w:rPr>
          <w:spacing w:val="-13"/>
          <w:sz w:val="20"/>
        </w:rPr>
        <w:t> </w:t>
      </w:r>
      <w:r>
        <w:rPr>
          <w:sz w:val="20"/>
        </w:rPr>
        <w:t>Favreau</w:t>
      </w:r>
      <w:r>
        <w:rPr>
          <w:spacing w:val="-12"/>
          <w:sz w:val="20"/>
        </w:rPr>
        <w:t> </w:t>
      </w:r>
      <w:r>
        <w:rPr>
          <w:sz w:val="20"/>
        </w:rPr>
        <w:t>falsified,</w:t>
      </w:r>
      <w:r>
        <w:rPr>
          <w:spacing w:val="-13"/>
          <w:sz w:val="20"/>
        </w:rPr>
        <w:t> </w:t>
      </w:r>
      <w:r>
        <w:rPr>
          <w:sz w:val="20"/>
        </w:rPr>
        <w:t>and</w:t>
      </w:r>
      <w:r>
        <w:rPr>
          <w:spacing w:val="-12"/>
          <w:sz w:val="20"/>
        </w:rPr>
        <w:t> </w:t>
      </w:r>
      <w:r>
        <w:rPr>
          <w:sz w:val="20"/>
        </w:rPr>
        <w:t>lied</w:t>
      </w:r>
      <w:r>
        <w:rPr>
          <w:spacing w:val="-12"/>
          <w:sz w:val="20"/>
        </w:rPr>
        <w:t> </w:t>
      </w:r>
      <w:r>
        <w:rPr>
          <w:sz w:val="20"/>
        </w:rPr>
        <w:t>on,</w:t>
      </w:r>
      <w:r>
        <w:rPr>
          <w:spacing w:val="-14"/>
          <w:sz w:val="20"/>
        </w:rPr>
        <w:t> </w:t>
      </w:r>
      <w:r>
        <w:rPr>
          <w:sz w:val="20"/>
        </w:rPr>
        <w:t>her</w:t>
      </w:r>
      <w:r>
        <w:rPr>
          <w:spacing w:val="-11"/>
          <w:sz w:val="20"/>
        </w:rPr>
        <w:t> </w:t>
      </w:r>
      <w:r>
        <w:rPr>
          <w:sz w:val="20"/>
        </w:rPr>
        <w:t>resume</w:t>
      </w:r>
      <w:r>
        <w:rPr>
          <w:spacing w:val="-13"/>
          <w:sz w:val="20"/>
        </w:rPr>
        <w:t> </w:t>
      </w:r>
      <w:r>
        <w:rPr>
          <w:sz w:val="20"/>
        </w:rPr>
        <w:t>in</w:t>
      </w:r>
      <w:r>
        <w:rPr>
          <w:spacing w:val="-12"/>
          <w:sz w:val="20"/>
        </w:rPr>
        <w:t> </w:t>
      </w:r>
      <w:r>
        <w:rPr>
          <w:sz w:val="20"/>
        </w:rPr>
        <w:t>the</w:t>
      </w:r>
      <w:r>
        <w:rPr>
          <w:spacing w:val="-12"/>
          <w:sz w:val="20"/>
        </w:rPr>
        <w:t> </w:t>
      </w:r>
      <w:r>
        <w:rPr>
          <w:sz w:val="20"/>
        </w:rPr>
        <w:t>KRN</w:t>
      </w:r>
      <w:r>
        <w:rPr>
          <w:spacing w:val="-12"/>
          <w:sz w:val="20"/>
        </w:rPr>
        <w:t> </w:t>
      </w:r>
      <w:r>
        <w:rPr>
          <w:sz w:val="20"/>
        </w:rPr>
        <w:t>Circular,</w:t>
      </w:r>
      <w:r>
        <w:rPr>
          <w:spacing w:val="-13"/>
          <w:sz w:val="20"/>
        </w:rPr>
        <w:t> </w:t>
      </w:r>
      <w:r>
        <w:rPr>
          <w:sz w:val="20"/>
        </w:rPr>
        <w:t>where</w:t>
      </w:r>
      <w:r>
        <w:rPr>
          <w:spacing w:val="-12"/>
          <w:sz w:val="20"/>
        </w:rPr>
        <w:t> </w:t>
      </w:r>
      <w:r>
        <w:rPr>
          <w:sz w:val="20"/>
        </w:rPr>
        <w:t>she</w:t>
      </w:r>
      <w:r>
        <w:rPr>
          <w:spacing w:val="-12"/>
          <w:sz w:val="20"/>
        </w:rPr>
        <w:t> </w:t>
      </w:r>
      <w:r>
        <w:rPr>
          <w:sz w:val="20"/>
        </w:rPr>
        <w:t>claims to have “</w:t>
      </w:r>
      <w:r>
        <w:rPr>
          <w:i/>
          <w:sz w:val="20"/>
        </w:rPr>
        <w:t>has significant experience in the mining and agricultural sectors, including the potash </w:t>
      </w:r>
      <w:r>
        <w:rPr>
          <w:i/>
          <w:sz w:val="20"/>
        </w:rPr>
        <w:t>industry</w:t>
      </w:r>
      <w:r>
        <w:rPr>
          <w:sz w:val="20"/>
        </w:rPr>
        <w:t>” and that she has “</w:t>
      </w:r>
      <w:r>
        <w:rPr>
          <w:i/>
          <w:sz w:val="20"/>
        </w:rPr>
        <w:t>extensive experience with Canadian publicly listed companies</w:t>
      </w:r>
      <w:r>
        <w:rPr>
          <w:sz w:val="20"/>
        </w:rPr>
        <w:t>”. Her profile on LinkedIn does not match that statement. Attached and marked as </w:t>
      </w:r>
      <w:r>
        <w:rPr>
          <w:b/>
          <w:sz w:val="20"/>
        </w:rPr>
        <w:t>Exhibit “FF” </w:t>
      </w:r>
      <w:r>
        <w:rPr>
          <w:sz w:val="20"/>
        </w:rPr>
        <w:t>to the FDW Affidavit is a copy of the Favreau’s LinkedIn profile. Her filings on SEDI don’t match that statement. Attached as </w:t>
      </w:r>
      <w:r>
        <w:rPr>
          <w:b/>
          <w:sz w:val="20"/>
        </w:rPr>
        <w:t>Exhibit “GG” </w:t>
      </w:r>
      <w:r>
        <w:rPr>
          <w:sz w:val="20"/>
        </w:rPr>
        <w:t>to the FDW Affidavit is a copy of Favreau’s SEDI</w:t>
      </w:r>
      <w:r>
        <w:rPr>
          <w:spacing w:val="-33"/>
          <w:sz w:val="20"/>
        </w:rPr>
        <w:t> </w:t>
      </w:r>
      <w:r>
        <w:rPr>
          <w:sz w:val="20"/>
        </w:rPr>
        <w:t>report.</w:t>
      </w:r>
    </w:p>
    <w:p>
      <w:pPr>
        <w:spacing w:after="0" w:line="360" w:lineRule="auto"/>
        <w:jc w:val="both"/>
        <w:rPr>
          <w:sz w:val="20"/>
        </w:rPr>
        <w:sectPr>
          <w:pgSz w:w="12240" w:h="15840"/>
          <w:pgMar w:header="0" w:footer="1259" w:top="1220" w:bottom="1440" w:left="1320" w:right="280"/>
        </w:sectPr>
      </w:pPr>
    </w:p>
    <w:p>
      <w:pPr>
        <w:pStyle w:val="ListParagraph"/>
        <w:numPr>
          <w:ilvl w:val="0"/>
          <w:numId w:val="1"/>
        </w:numPr>
        <w:tabs>
          <w:tab w:pos="839" w:val="left" w:leader="none"/>
          <w:tab w:pos="841" w:val="left" w:leader="none"/>
        </w:tabs>
        <w:spacing w:line="240" w:lineRule="auto" w:before="77" w:after="0"/>
        <w:ind w:left="840" w:right="0" w:hanging="721"/>
        <w:jc w:val="left"/>
        <w:rPr>
          <w:sz w:val="20"/>
        </w:rPr>
      </w:pPr>
      <w:r>
        <w:rPr/>
        <w:drawing>
          <wp:anchor distT="0" distB="0" distL="0" distR="0" allowOverlap="1" layoutInCell="1" locked="0" behindDoc="0" simplePos="0" relativeHeight="251694080">
            <wp:simplePos x="0" y="0"/>
            <wp:positionH relativeFrom="page">
              <wp:posOffset>6872147</wp:posOffset>
            </wp:positionH>
            <wp:positionV relativeFrom="page">
              <wp:posOffset>9364431</wp:posOffset>
            </wp:positionV>
            <wp:extent cx="547560" cy="555707"/>
            <wp:effectExtent l="0" t="0" r="0" b="0"/>
            <wp:wrapNone/>
            <wp:docPr id="53" name="image4.png"/>
            <wp:cNvGraphicFramePr>
              <a:graphicFrameLocks noChangeAspect="1"/>
            </wp:cNvGraphicFramePr>
            <a:graphic>
              <a:graphicData uri="http://schemas.openxmlformats.org/drawingml/2006/picture">
                <pic:pic>
                  <pic:nvPicPr>
                    <pic:cNvPr id="54" name="image4.png"/>
                    <pic:cNvPicPr/>
                  </pic:nvPicPr>
                  <pic:blipFill>
                    <a:blip r:embed="rId9" cstate="print"/>
                    <a:stretch>
                      <a:fillRect/>
                    </a:stretch>
                  </pic:blipFill>
                  <pic:spPr>
                    <a:xfrm>
                      <a:off x="0" y="0"/>
                      <a:ext cx="547560" cy="555707"/>
                    </a:xfrm>
                    <a:prstGeom prst="rect">
                      <a:avLst/>
                    </a:prstGeom>
                  </pic:spPr>
                </pic:pic>
              </a:graphicData>
            </a:graphic>
          </wp:anchor>
        </w:drawing>
      </w:r>
      <w:r>
        <w:rPr/>
        <w:drawing>
          <wp:anchor distT="0" distB="0" distL="0" distR="0" allowOverlap="1" layoutInCell="1" locked="0" behindDoc="0" simplePos="0" relativeHeight="251695104">
            <wp:simplePos x="0" y="0"/>
            <wp:positionH relativeFrom="page">
              <wp:posOffset>5739612</wp:posOffset>
            </wp:positionH>
            <wp:positionV relativeFrom="page">
              <wp:posOffset>9356915</wp:posOffset>
            </wp:positionV>
            <wp:extent cx="876722" cy="555707"/>
            <wp:effectExtent l="0" t="0" r="0" b="0"/>
            <wp:wrapNone/>
            <wp:docPr id="55" name="image5.png"/>
            <wp:cNvGraphicFramePr>
              <a:graphicFrameLocks noChangeAspect="1"/>
            </wp:cNvGraphicFramePr>
            <a:graphic>
              <a:graphicData uri="http://schemas.openxmlformats.org/drawingml/2006/picture">
                <pic:pic>
                  <pic:nvPicPr>
                    <pic:cNvPr id="56" name="image5.png"/>
                    <pic:cNvPicPr/>
                  </pic:nvPicPr>
                  <pic:blipFill>
                    <a:blip r:embed="rId10" cstate="print"/>
                    <a:stretch>
                      <a:fillRect/>
                    </a:stretch>
                  </pic:blipFill>
                  <pic:spPr>
                    <a:xfrm>
                      <a:off x="0" y="0"/>
                      <a:ext cx="876722" cy="555707"/>
                    </a:xfrm>
                    <a:prstGeom prst="rect">
                      <a:avLst/>
                    </a:prstGeom>
                  </pic:spPr>
                </pic:pic>
              </a:graphicData>
            </a:graphic>
          </wp:anchor>
        </w:drawing>
      </w:r>
      <w:r>
        <w:rPr>
          <w:sz w:val="20"/>
        </w:rPr>
        <w:t>I verily believe that Favreau</w:t>
      </w:r>
      <w:r>
        <w:rPr>
          <w:spacing w:val="-6"/>
          <w:sz w:val="20"/>
        </w:rPr>
        <w:t> </w:t>
      </w:r>
      <w:r>
        <w:rPr>
          <w:sz w:val="20"/>
        </w:rPr>
        <w:t>is:</w:t>
      </w:r>
    </w:p>
    <w:p>
      <w:pPr>
        <w:pStyle w:val="BodyText"/>
        <w:spacing w:before="7"/>
        <w:rPr>
          <w:sz w:val="23"/>
        </w:rPr>
      </w:pPr>
    </w:p>
    <w:p>
      <w:pPr>
        <w:pStyle w:val="ListParagraph"/>
        <w:numPr>
          <w:ilvl w:val="1"/>
          <w:numId w:val="1"/>
        </w:numPr>
        <w:tabs>
          <w:tab w:pos="1559" w:val="left" w:leader="none"/>
          <w:tab w:pos="1561" w:val="left" w:leader="none"/>
        </w:tabs>
        <w:spacing w:line="352" w:lineRule="auto" w:before="1" w:after="0"/>
        <w:ind w:left="1560" w:right="1156" w:hanging="721"/>
        <w:jc w:val="left"/>
        <w:rPr>
          <w:rFonts w:ascii="Symbol" w:hAnsi="Symbol"/>
          <w:sz w:val="20"/>
        </w:rPr>
      </w:pPr>
      <w:r>
        <w:rPr>
          <w:sz w:val="20"/>
        </w:rPr>
        <w:t>not</w:t>
      </w:r>
      <w:r>
        <w:rPr>
          <w:spacing w:val="-13"/>
          <w:sz w:val="20"/>
        </w:rPr>
        <w:t> </w:t>
      </w:r>
      <w:r>
        <w:rPr>
          <w:sz w:val="20"/>
        </w:rPr>
        <w:t>discharging</w:t>
      </w:r>
      <w:r>
        <w:rPr>
          <w:spacing w:val="-11"/>
          <w:sz w:val="20"/>
        </w:rPr>
        <w:t> </w:t>
      </w:r>
      <w:r>
        <w:rPr>
          <w:sz w:val="20"/>
        </w:rPr>
        <w:t>her</w:t>
      </w:r>
      <w:r>
        <w:rPr>
          <w:spacing w:val="-11"/>
          <w:sz w:val="20"/>
        </w:rPr>
        <w:t> </w:t>
      </w:r>
      <w:r>
        <w:rPr>
          <w:sz w:val="20"/>
        </w:rPr>
        <w:t>legal</w:t>
      </w:r>
      <w:r>
        <w:rPr>
          <w:spacing w:val="-12"/>
          <w:sz w:val="20"/>
        </w:rPr>
        <w:t> </w:t>
      </w:r>
      <w:r>
        <w:rPr>
          <w:sz w:val="20"/>
        </w:rPr>
        <w:t>and</w:t>
      </w:r>
      <w:r>
        <w:rPr>
          <w:spacing w:val="-11"/>
          <w:sz w:val="20"/>
        </w:rPr>
        <w:t> </w:t>
      </w:r>
      <w:r>
        <w:rPr>
          <w:sz w:val="20"/>
        </w:rPr>
        <w:t>fiduciary</w:t>
      </w:r>
      <w:r>
        <w:rPr>
          <w:spacing w:val="-11"/>
          <w:sz w:val="20"/>
        </w:rPr>
        <w:t> </w:t>
      </w:r>
      <w:r>
        <w:rPr>
          <w:sz w:val="20"/>
        </w:rPr>
        <w:t>duties</w:t>
      </w:r>
      <w:r>
        <w:rPr>
          <w:spacing w:val="-12"/>
          <w:sz w:val="20"/>
        </w:rPr>
        <w:t> </w:t>
      </w:r>
      <w:r>
        <w:rPr>
          <w:sz w:val="20"/>
        </w:rPr>
        <w:t>to</w:t>
      </w:r>
      <w:r>
        <w:rPr>
          <w:spacing w:val="-11"/>
          <w:sz w:val="20"/>
        </w:rPr>
        <w:t> </w:t>
      </w:r>
      <w:r>
        <w:rPr>
          <w:sz w:val="20"/>
        </w:rPr>
        <w:t>act</w:t>
      </w:r>
      <w:r>
        <w:rPr>
          <w:spacing w:val="-12"/>
          <w:sz w:val="20"/>
        </w:rPr>
        <w:t> </w:t>
      </w:r>
      <w:r>
        <w:rPr>
          <w:sz w:val="20"/>
        </w:rPr>
        <w:t>honestly</w:t>
      </w:r>
      <w:r>
        <w:rPr>
          <w:spacing w:val="-12"/>
          <w:sz w:val="20"/>
        </w:rPr>
        <w:t> </w:t>
      </w:r>
      <w:r>
        <w:rPr>
          <w:sz w:val="20"/>
        </w:rPr>
        <w:t>and</w:t>
      </w:r>
      <w:r>
        <w:rPr>
          <w:spacing w:val="-11"/>
          <w:sz w:val="20"/>
        </w:rPr>
        <w:t> </w:t>
      </w:r>
      <w:r>
        <w:rPr>
          <w:sz w:val="20"/>
        </w:rPr>
        <w:t>with</w:t>
      </w:r>
      <w:r>
        <w:rPr>
          <w:spacing w:val="-11"/>
          <w:sz w:val="20"/>
        </w:rPr>
        <w:t> </w:t>
      </w:r>
      <w:r>
        <w:rPr>
          <w:sz w:val="20"/>
        </w:rPr>
        <w:t>integrity,</w:t>
      </w:r>
      <w:r>
        <w:rPr>
          <w:spacing w:val="-13"/>
          <w:sz w:val="20"/>
        </w:rPr>
        <w:t> </w:t>
      </w:r>
      <w:r>
        <w:rPr>
          <w:sz w:val="20"/>
        </w:rPr>
        <w:t>as</w:t>
      </w:r>
      <w:r>
        <w:rPr>
          <w:spacing w:val="-12"/>
          <w:sz w:val="20"/>
        </w:rPr>
        <w:t> </w:t>
      </w:r>
      <w:r>
        <w:rPr>
          <w:sz w:val="20"/>
        </w:rPr>
        <w:t>an</w:t>
      </w:r>
      <w:r>
        <w:rPr>
          <w:spacing w:val="-11"/>
          <w:sz w:val="20"/>
        </w:rPr>
        <w:t> </w:t>
      </w:r>
      <w:r>
        <w:rPr>
          <w:sz w:val="20"/>
        </w:rPr>
        <w:t>officer of a Canadian public</w:t>
      </w:r>
      <w:r>
        <w:rPr>
          <w:spacing w:val="-4"/>
          <w:sz w:val="20"/>
        </w:rPr>
        <w:t> </w:t>
      </w:r>
      <w:r>
        <w:rPr>
          <w:sz w:val="20"/>
        </w:rPr>
        <w:t>company;</w:t>
      </w:r>
    </w:p>
    <w:p>
      <w:pPr>
        <w:pStyle w:val="ListParagraph"/>
        <w:numPr>
          <w:ilvl w:val="1"/>
          <w:numId w:val="1"/>
        </w:numPr>
        <w:tabs>
          <w:tab w:pos="1560" w:val="left" w:leader="none"/>
          <w:tab w:pos="1561" w:val="left" w:leader="none"/>
        </w:tabs>
        <w:spacing w:line="240" w:lineRule="auto" w:before="164" w:after="0"/>
        <w:ind w:left="1560" w:right="0" w:hanging="721"/>
        <w:jc w:val="left"/>
        <w:rPr>
          <w:rFonts w:ascii="Symbol" w:hAnsi="Symbol"/>
          <w:sz w:val="20"/>
        </w:rPr>
      </w:pPr>
      <w:r>
        <w:rPr>
          <w:sz w:val="20"/>
        </w:rPr>
        <w:t>is in clear violation of the KRN Code,</w:t>
      </w:r>
      <w:r>
        <w:rPr>
          <w:spacing w:val="-9"/>
          <w:sz w:val="20"/>
        </w:rPr>
        <w:t> </w:t>
      </w:r>
      <w:r>
        <w:rPr>
          <w:sz w:val="20"/>
        </w:rPr>
        <w:t>and</w:t>
      </w:r>
    </w:p>
    <w:p>
      <w:pPr>
        <w:pStyle w:val="BodyText"/>
        <w:spacing w:before="8"/>
        <w:rPr>
          <w:sz w:val="23"/>
        </w:rPr>
      </w:pPr>
    </w:p>
    <w:p>
      <w:pPr>
        <w:pStyle w:val="ListParagraph"/>
        <w:numPr>
          <w:ilvl w:val="1"/>
          <w:numId w:val="1"/>
        </w:numPr>
        <w:tabs>
          <w:tab w:pos="1560" w:val="left" w:leader="none"/>
          <w:tab w:pos="1561" w:val="left" w:leader="none"/>
        </w:tabs>
        <w:spacing w:line="240" w:lineRule="auto" w:before="0" w:after="0"/>
        <w:ind w:left="840" w:right="0" w:hanging="1"/>
        <w:jc w:val="left"/>
        <w:rPr>
          <w:rFonts w:ascii="Symbol" w:hAnsi="Symbol"/>
          <w:sz w:val="20"/>
        </w:rPr>
      </w:pPr>
      <w:r>
        <w:rPr>
          <w:sz w:val="20"/>
        </w:rPr>
        <w:t>is</w:t>
      </w:r>
      <w:r>
        <w:rPr>
          <w:spacing w:val="-12"/>
          <w:sz w:val="20"/>
        </w:rPr>
        <w:t> </w:t>
      </w:r>
      <w:r>
        <w:rPr>
          <w:sz w:val="20"/>
        </w:rPr>
        <w:t>most</w:t>
      </w:r>
      <w:r>
        <w:rPr>
          <w:spacing w:val="-13"/>
          <w:sz w:val="20"/>
        </w:rPr>
        <w:t> </w:t>
      </w:r>
      <w:r>
        <w:rPr>
          <w:sz w:val="20"/>
        </w:rPr>
        <w:t>likely</w:t>
      </w:r>
      <w:r>
        <w:rPr>
          <w:spacing w:val="-11"/>
          <w:sz w:val="20"/>
        </w:rPr>
        <w:t> </w:t>
      </w:r>
      <w:r>
        <w:rPr>
          <w:sz w:val="20"/>
        </w:rPr>
        <w:t>in</w:t>
      </w:r>
      <w:r>
        <w:rPr>
          <w:spacing w:val="-12"/>
          <w:sz w:val="20"/>
        </w:rPr>
        <w:t> </w:t>
      </w:r>
      <w:r>
        <w:rPr>
          <w:sz w:val="20"/>
        </w:rPr>
        <w:t>breach</w:t>
      </w:r>
      <w:r>
        <w:rPr>
          <w:spacing w:val="-12"/>
          <w:sz w:val="20"/>
        </w:rPr>
        <w:t> </w:t>
      </w:r>
      <w:r>
        <w:rPr>
          <w:sz w:val="20"/>
        </w:rPr>
        <w:t>of</w:t>
      </w:r>
      <w:r>
        <w:rPr>
          <w:spacing w:val="-12"/>
          <w:sz w:val="20"/>
        </w:rPr>
        <w:t> </w:t>
      </w:r>
      <w:r>
        <w:rPr>
          <w:sz w:val="20"/>
        </w:rPr>
        <w:t>the</w:t>
      </w:r>
      <w:r>
        <w:rPr>
          <w:spacing w:val="-12"/>
          <w:sz w:val="20"/>
        </w:rPr>
        <w:t> </w:t>
      </w:r>
      <w:r>
        <w:rPr>
          <w:sz w:val="20"/>
        </w:rPr>
        <w:t>professional</w:t>
      </w:r>
      <w:r>
        <w:rPr>
          <w:spacing w:val="-13"/>
          <w:sz w:val="20"/>
        </w:rPr>
        <w:t> </w:t>
      </w:r>
      <w:r>
        <w:rPr>
          <w:sz w:val="20"/>
        </w:rPr>
        <w:t>code</w:t>
      </w:r>
      <w:r>
        <w:rPr>
          <w:spacing w:val="-11"/>
          <w:sz w:val="20"/>
        </w:rPr>
        <w:t> </w:t>
      </w:r>
      <w:r>
        <w:rPr>
          <w:sz w:val="20"/>
        </w:rPr>
        <w:t>of</w:t>
      </w:r>
      <w:r>
        <w:rPr>
          <w:spacing w:val="-13"/>
          <w:sz w:val="20"/>
        </w:rPr>
        <w:t> </w:t>
      </w:r>
      <w:r>
        <w:rPr>
          <w:sz w:val="20"/>
        </w:rPr>
        <w:t>conduct</w:t>
      </w:r>
      <w:r>
        <w:rPr>
          <w:spacing w:val="-13"/>
          <w:sz w:val="20"/>
        </w:rPr>
        <w:t> </w:t>
      </w:r>
      <w:r>
        <w:rPr>
          <w:sz w:val="20"/>
        </w:rPr>
        <w:t>for</w:t>
      </w:r>
      <w:r>
        <w:rPr>
          <w:spacing w:val="-11"/>
          <w:sz w:val="20"/>
        </w:rPr>
        <w:t> </w:t>
      </w:r>
      <w:r>
        <w:rPr>
          <w:sz w:val="20"/>
        </w:rPr>
        <w:t>Certified</w:t>
      </w:r>
      <w:r>
        <w:rPr>
          <w:spacing w:val="-12"/>
          <w:sz w:val="20"/>
        </w:rPr>
        <w:t> </w:t>
      </w:r>
      <w:r>
        <w:rPr>
          <w:sz w:val="20"/>
        </w:rPr>
        <w:t>Public</w:t>
      </w:r>
      <w:r>
        <w:rPr>
          <w:spacing w:val="-12"/>
          <w:sz w:val="20"/>
        </w:rPr>
        <w:t> </w:t>
      </w:r>
      <w:r>
        <w:rPr>
          <w:sz w:val="20"/>
        </w:rPr>
        <w:t>Accountants;</w:t>
      </w:r>
    </w:p>
    <w:p>
      <w:pPr>
        <w:pStyle w:val="BodyText"/>
        <w:spacing w:before="9"/>
        <w:rPr>
          <w:sz w:val="23"/>
        </w:rPr>
      </w:pPr>
    </w:p>
    <w:p>
      <w:pPr>
        <w:pStyle w:val="BodyText"/>
        <w:spacing w:line="360" w:lineRule="auto"/>
        <w:ind w:left="840" w:right="1157"/>
        <w:jc w:val="both"/>
      </w:pPr>
      <w:r>
        <w:rPr/>
        <w:t>when she falsifies, and lies on, her resume and claims skills, background and experience that is not supported by her own LinkedIn profile, or her SEDI filing.</w:t>
      </w:r>
    </w:p>
    <w:p>
      <w:pPr>
        <w:pStyle w:val="ListParagraph"/>
        <w:numPr>
          <w:ilvl w:val="0"/>
          <w:numId w:val="1"/>
        </w:numPr>
        <w:tabs>
          <w:tab w:pos="841" w:val="left" w:leader="none"/>
        </w:tabs>
        <w:spacing w:line="360" w:lineRule="auto" w:before="160" w:after="0"/>
        <w:ind w:left="840" w:right="1155" w:hanging="720"/>
        <w:jc w:val="both"/>
        <w:rPr>
          <w:sz w:val="20"/>
        </w:rPr>
      </w:pPr>
      <w:r>
        <w:rPr>
          <w:sz w:val="20"/>
        </w:rPr>
        <w:t>In February 2019, Favreau stated to the CBC in an interview that: “</w:t>
      </w:r>
      <w:r>
        <w:rPr>
          <w:i/>
          <w:color w:val="1C1C1C"/>
          <w:sz w:val="20"/>
        </w:rPr>
        <w:t>Generally speaking, men tend </w:t>
      </w:r>
      <w:r>
        <w:rPr>
          <w:i/>
          <w:color w:val="1C1C1C"/>
          <w:sz w:val="20"/>
        </w:rPr>
        <w:t>to sort of step into roles or go after roles that they maybe are uncomfortable with a little bit,"……."They</w:t>
      </w:r>
      <w:r>
        <w:rPr>
          <w:i/>
          <w:color w:val="1C1C1C"/>
          <w:spacing w:val="-8"/>
          <w:sz w:val="20"/>
        </w:rPr>
        <w:t> </w:t>
      </w:r>
      <w:r>
        <w:rPr>
          <w:i/>
          <w:color w:val="1C1C1C"/>
          <w:sz w:val="20"/>
        </w:rPr>
        <w:t>don't</w:t>
      </w:r>
      <w:r>
        <w:rPr>
          <w:i/>
          <w:color w:val="1C1C1C"/>
          <w:spacing w:val="-8"/>
          <w:sz w:val="20"/>
        </w:rPr>
        <w:t> </w:t>
      </w:r>
      <w:r>
        <w:rPr>
          <w:i/>
          <w:color w:val="1C1C1C"/>
          <w:sz w:val="20"/>
        </w:rPr>
        <w:t>know</w:t>
      </w:r>
      <w:r>
        <w:rPr>
          <w:i/>
          <w:color w:val="1C1C1C"/>
          <w:spacing w:val="-8"/>
          <w:sz w:val="20"/>
        </w:rPr>
        <w:t> </w:t>
      </w:r>
      <w:r>
        <w:rPr>
          <w:i/>
          <w:color w:val="1C1C1C"/>
          <w:sz w:val="20"/>
        </w:rPr>
        <w:t>everything</w:t>
      </w:r>
      <w:r>
        <w:rPr>
          <w:i/>
          <w:color w:val="1C1C1C"/>
          <w:spacing w:val="-8"/>
          <w:sz w:val="20"/>
        </w:rPr>
        <w:t> </w:t>
      </w:r>
      <w:r>
        <w:rPr>
          <w:i/>
          <w:color w:val="1C1C1C"/>
          <w:sz w:val="20"/>
        </w:rPr>
        <w:t>they</w:t>
      </w:r>
      <w:r>
        <w:rPr>
          <w:i/>
          <w:color w:val="1C1C1C"/>
          <w:spacing w:val="-8"/>
          <w:sz w:val="20"/>
        </w:rPr>
        <w:t> </w:t>
      </w:r>
      <w:r>
        <w:rPr>
          <w:i/>
          <w:color w:val="1C1C1C"/>
          <w:sz w:val="20"/>
        </w:rPr>
        <w:t>need</w:t>
      </w:r>
      <w:r>
        <w:rPr>
          <w:i/>
          <w:color w:val="1C1C1C"/>
          <w:spacing w:val="-8"/>
          <w:sz w:val="20"/>
        </w:rPr>
        <w:t> </w:t>
      </w:r>
      <w:r>
        <w:rPr>
          <w:i/>
          <w:color w:val="1C1C1C"/>
          <w:sz w:val="20"/>
        </w:rPr>
        <w:t>to</w:t>
      </w:r>
      <w:r>
        <w:rPr>
          <w:i/>
          <w:color w:val="1C1C1C"/>
          <w:spacing w:val="-9"/>
          <w:sz w:val="20"/>
        </w:rPr>
        <w:t> </w:t>
      </w:r>
      <w:r>
        <w:rPr>
          <w:i/>
          <w:color w:val="1C1C1C"/>
          <w:sz w:val="20"/>
        </w:rPr>
        <w:t>know</w:t>
      </w:r>
      <w:r>
        <w:rPr>
          <w:i/>
          <w:color w:val="1C1C1C"/>
          <w:spacing w:val="-7"/>
          <w:sz w:val="20"/>
        </w:rPr>
        <w:t> </w:t>
      </w:r>
      <w:r>
        <w:rPr>
          <w:i/>
          <w:color w:val="1C1C1C"/>
          <w:sz w:val="20"/>
        </w:rPr>
        <w:t>but</w:t>
      </w:r>
      <w:r>
        <w:rPr>
          <w:i/>
          <w:color w:val="1C1C1C"/>
          <w:spacing w:val="-9"/>
          <w:sz w:val="20"/>
        </w:rPr>
        <w:t> </w:t>
      </w:r>
      <w:r>
        <w:rPr>
          <w:i/>
          <w:color w:val="1C1C1C"/>
          <w:sz w:val="20"/>
        </w:rPr>
        <w:t>they</w:t>
      </w:r>
      <w:r>
        <w:rPr>
          <w:i/>
          <w:color w:val="1C1C1C"/>
          <w:spacing w:val="-7"/>
          <w:sz w:val="20"/>
        </w:rPr>
        <w:t> </w:t>
      </w:r>
      <w:r>
        <w:rPr>
          <w:i/>
          <w:color w:val="1C1C1C"/>
          <w:sz w:val="20"/>
        </w:rPr>
        <w:t>just</w:t>
      </w:r>
      <w:r>
        <w:rPr>
          <w:i/>
          <w:color w:val="1C1C1C"/>
          <w:spacing w:val="-9"/>
          <w:sz w:val="20"/>
        </w:rPr>
        <w:t> </w:t>
      </w:r>
      <w:r>
        <w:rPr>
          <w:i/>
          <w:color w:val="1C1C1C"/>
          <w:sz w:val="20"/>
        </w:rPr>
        <w:t>typically</w:t>
      </w:r>
      <w:r>
        <w:rPr>
          <w:i/>
          <w:color w:val="1C1C1C"/>
          <w:spacing w:val="-7"/>
          <w:sz w:val="20"/>
        </w:rPr>
        <w:t> </w:t>
      </w:r>
      <w:r>
        <w:rPr>
          <w:i/>
          <w:color w:val="1C1C1C"/>
          <w:sz w:val="20"/>
        </w:rPr>
        <w:t>have</w:t>
      </w:r>
      <w:r>
        <w:rPr>
          <w:i/>
          <w:color w:val="1C1C1C"/>
          <w:spacing w:val="-9"/>
          <w:sz w:val="20"/>
        </w:rPr>
        <w:t> </w:t>
      </w:r>
      <w:r>
        <w:rPr>
          <w:i/>
          <w:color w:val="1C1C1C"/>
          <w:sz w:val="20"/>
        </w:rPr>
        <w:t>the</w:t>
      </w:r>
      <w:r>
        <w:rPr>
          <w:i/>
          <w:color w:val="1C1C1C"/>
          <w:spacing w:val="-8"/>
          <w:sz w:val="20"/>
        </w:rPr>
        <w:t> </w:t>
      </w:r>
      <w:r>
        <w:rPr>
          <w:i/>
          <w:color w:val="1C1C1C"/>
          <w:sz w:val="20"/>
        </w:rPr>
        <w:t>confidence to just try it and they know they'll figure it out. We're just as capable of doing that too</w:t>
      </w:r>
      <w:r>
        <w:rPr>
          <w:color w:val="1C1C1C"/>
          <w:sz w:val="20"/>
        </w:rPr>
        <w:t>." </w:t>
      </w:r>
      <w:r>
        <w:rPr>
          <w:sz w:val="20"/>
        </w:rPr>
        <w:t>Attached and marked as </w:t>
      </w:r>
      <w:r>
        <w:rPr>
          <w:b/>
          <w:sz w:val="20"/>
        </w:rPr>
        <w:t>Exhibit “VV” </w:t>
      </w:r>
      <w:r>
        <w:rPr>
          <w:sz w:val="20"/>
        </w:rPr>
        <w:t>to the FDW Affidavit is a copy of the</w:t>
      </w:r>
      <w:r>
        <w:rPr>
          <w:spacing w:val="-15"/>
          <w:sz w:val="20"/>
        </w:rPr>
        <w:t> </w:t>
      </w:r>
      <w:r>
        <w:rPr>
          <w:sz w:val="20"/>
        </w:rPr>
        <w:t>interview.</w:t>
      </w:r>
    </w:p>
    <w:p>
      <w:pPr>
        <w:pStyle w:val="ListParagraph"/>
        <w:numPr>
          <w:ilvl w:val="0"/>
          <w:numId w:val="1"/>
        </w:numPr>
        <w:tabs>
          <w:tab w:pos="841" w:val="left" w:leader="none"/>
        </w:tabs>
        <w:spacing w:line="360" w:lineRule="auto" w:before="161" w:after="0"/>
        <w:ind w:left="840" w:right="1157" w:hanging="720"/>
        <w:jc w:val="both"/>
        <w:rPr>
          <w:sz w:val="20"/>
        </w:rPr>
      </w:pPr>
      <w:r>
        <w:rPr>
          <w:sz w:val="20"/>
        </w:rPr>
        <w:t>I verily believe that the ordinary interpretation of Favreau’s words, and what Favreau was really trying to say, was that she didn’t know how to do a CEO job, but since men take those jobs all the time without knowing how to do the job, she would “</w:t>
      </w:r>
      <w:r>
        <w:rPr>
          <w:i/>
          <w:sz w:val="20"/>
        </w:rPr>
        <w:t>give it a</w:t>
      </w:r>
      <w:r>
        <w:rPr>
          <w:i/>
          <w:spacing w:val="-15"/>
          <w:sz w:val="20"/>
        </w:rPr>
        <w:t> </w:t>
      </w:r>
      <w:r>
        <w:rPr>
          <w:i/>
          <w:sz w:val="20"/>
        </w:rPr>
        <w:t>try</w:t>
      </w:r>
      <w:r>
        <w:rPr>
          <w:sz w:val="20"/>
        </w:rPr>
        <w:t>.”</w:t>
      </w:r>
    </w:p>
    <w:p>
      <w:pPr>
        <w:pStyle w:val="BodyText"/>
        <w:spacing w:before="7"/>
      </w:pPr>
    </w:p>
    <w:p>
      <w:pPr>
        <w:pStyle w:val="Heading1"/>
        <w:numPr>
          <w:ilvl w:val="0"/>
          <w:numId w:val="13"/>
        </w:numPr>
        <w:tabs>
          <w:tab w:pos="1559" w:val="left" w:leader="none"/>
          <w:tab w:pos="1561" w:val="left" w:leader="none"/>
        </w:tabs>
        <w:spacing w:line="240" w:lineRule="auto" w:before="0" w:after="0"/>
        <w:ind w:left="1560" w:right="0" w:hanging="721"/>
        <w:jc w:val="left"/>
      </w:pPr>
      <w:r>
        <w:rPr>
          <w:u w:val="thick"/>
        </w:rPr>
        <w:t>Favreau’s Employment</w:t>
      </w:r>
      <w:r>
        <w:rPr>
          <w:spacing w:val="-4"/>
          <w:u w:val="thick"/>
        </w:rPr>
        <w:t> </w:t>
      </w:r>
      <w:r>
        <w:rPr>
          <w:u w:val="thick"/>
        </w:rPr>
        <w:t>Contract</w:t>
      </w:r>
    </w:p>
    <w:p>
      <w:pPr>
        <w:pStyle w:val="BodyText"/>
        <w:spacing w:before="9"/>
        <w:rPr>
          <w:b/>
          <w:sz w:val="22"/>
        </w:rPr>
      </w:pPr>
    </w:p>
    <w:p>
      <w:pPr>
        <w:pStyle w:val="ListParagraph"/>
        <w:numPr>
          <w:ilvl w:val="0"/>
          <w:numId w:val="1"/>
        </w:numPr>
        <w:tabs>
          <w:tab w:pos="841" w:val="left" w:leader="none"/>
        </w:tabs>
        <w:spacing w:line="360" w:lineRule="auto" w:before="94" w:after="0"/>
        <w:ind w:left="840" w:right="1156" w:hanging="721"/>
        <w:jc w:val="both"/>
        <w:rPr>
          <w:sz w:val="20"/>
        </w:rPr>
      </w:pPr>
      <w:r>
        <w:rPr>
          <w:sz w:val="20"/>
        </w:rPr>
        <w:t>Section 3.4 (a) of Favreau’s employment agreement dated December 15, 2017 (the “</w:t>
      </w:r>
      <w:r>
        <w:rPr>
          <w:b/>
          <w:sz w:val="20"/>
        </w:rPr>
        <w:t>Favreau Agreement</w:t>
      </w:r>
      <w:r>
        <w:rPr>
          <w:sz w:val="20"/>
        </w:rPr>
        <w:t>”) between KRN and Favreau, with respect her appointment as CFO of KRN, provides that the KRN Board is able to move her back to her original position of Controller of KRN, without it being considered constructive dismissal. Attached as </w:t>
      </w:r>
      <w:r>
        <w:rPr>
          <w:b/>
          <w:sz w:val="20"/>
        </w:rPr>
        <w:t>Exhibit “EE” </w:t>
      </w:r>
      <w:r>
        <w:rPr>
          <w:sz w:val="20"/>
        </w:rPr>
        <w:t>to the FDW Affidavit is a copy of Section 3.4 (a) of the Favreau</w:t>
      </w:r>
      <w:r>
        <w:rPr>
          <w:spacing w:val="-9"/>
          <w:sz w:val="20"/>
        </w:rPr>
        <w:t> </w:t>
      </w:r>
      <w:r>
        <w:rPr>
          <w:sz w:val="20"/>
        </w:rPr>
        <w:t>Agreement.</w:t>
      </w:r>
    </w:p>
    <w:p>
      <w:pPr>
        <w:pStyle w:val="BodyText"/>
        <w:spacing w:before="10"/>
      </w:pPr>
    </w:p>
    <w:p>
      <w:pPr>
        <w:pStyle w:val="ListParagraph"/>
        <w:numPr>
          <w:ilvl w:val="0"/>
          <w:numId w:val="1"/>
        </w:numPr>
        <w:tabs>
          <w:tab w:pos="840" w:val="left" w:leader="none"/>
        </w:tabs>
        <w:spacing w:line="360" w:lineRule="auto" w:before="0" w:after="0"/>
        <w:ind w:left="839" w:right="1157" w:hanging="720"/>
        <w:jc w:val="both"/>
        <w:rPr>
          <w:sz w:val="20"/>
        </w:rPr>
      </w:pPr>
      <w:r>
        <w:rPr>
          <w:sz w:val="20"/>
        </w:rPr>
        <w:t>I was advised by Rowan, and verily believe, that when the KRN Board appointed Favreau as the CFO in November 2017, the KRN Board specifically included Section 3.4 (a) in the Favreau Agreement.</w:t>
      </w:r>
    </w:p>
    <w:p>
      <w:pPr>
        <w:pStyle w:val="BodyText"/>
        <w:spacing w:before="10"/>
      </w:pPr>
    </w:p>
    <w:p>
      <w:pPr>
        <w:pStyle w:val="ListParagraph"/>
        <w:numPr>
          <w:ilvl w:val="0"/>
          <w:numId w:val="14"/>
        </w:numPr>
        <w:tabs>
          <w:tab w:pos="1559" w:val="left" w:leader="none"/>
          <w:tab w:pos="1560" w:val="left" w:leader="none"/>
        </w:tabs>
        <w:spacing w:line="240" w:lineRule="auto" w:before="0" w:after="0"/>
        <w:ind w:left="1559" w:right="0" w:hanging="720"/>
        <w:jc w:val="left"/>
        <w:rPr>
          <w:sz w:val="20"/>
        </w:rPr>
      </w:pPr>
      <w:r>
        <w:rPr>
          <w:color w:val="1C1C1C"/>
          <w:sz w:val="20"/>
          <w:u w:val="single" w:color="1C1C1C"/>
        </w:rPr>
        <w:t>Scherman’s Falsified</w:t>
      </w:r>
      <w:r>
        <w:rPr>
          <w:color w:val="1C1C1C"/>
          <w:spacing w:val="-4"/>
          <w:sz w:val="20"/>
          <w:u w:val="single" w:color="1C1C1C"/>
        </w:rPr>
        <w:t> </w:t>
      </w:r>
      <w:r>
        <w:rPr>
          <w:color w:val="1C1C1C"/>
          <w:sz w:val="20"/>
          <w:u w:val="single" w:color="1C1C1C"/>
        </w:rPr>
        <w:t>Resume</w:t>
      </w:r>
    </w:p>
    <w:p>
      <w:pPr>
        <w:pStyle w:val="BodyText"/>
        <w:spacing w:before="8"/>
        <w:rPr>
          <w:sz w:val="15"/>
        </w:rPr>
      </w:pPr>
    </w:p>
    <w:p>
      <w:pPr>
        <w:pStyle w:val="ListParagraph"/>
        <w:numPr>
          <w:ilvl w:val="0"/>
          <w:numId w:val="1"/>
        </w:numPr>
        <w:tabs>
          <w:tab w:pos="841" w:val="left" w:leader="none"/>
        </w:tabs>
        <w:spacing w:line="360" w:lineRule="auto" w:before="94" w:after="0"/>
        <w:ind w:left="839" w:right="1156" w:hanging="720"/>
        <w:jc w:val="both"/>
        <w:rPr>
          <w:color w:val="1C1C1C"/>
          <w:sz w:val="20"/>
        </w:rPr>
      </w:pPr>
      <w:r>
        <w:rPr>
          <w:color w:val="1C1C1C"/>
          <w:sz w:val="20"/>
        </w:rPr>
        <w:t>I verily believe that in the KRN Circular, Karnalyte, the KRN Board and Favreau are intentionally misrepresenting, by way of omission, the experience of Scherman, a member of the KRN Board. The</w:t>
      </w:r>
      <w:r>
        <w:rPr>
          <w:color w:val="1C1C1C"/>
          <w:spacing w:val="-13"/>
          <w:sz w:val="20"/>
        </w:rPr>
        <w:t> </w:t>
      </w:r>
      <w:r>
        <w:rPr>
          <w:color w:val="1C1C1C"/>
          <w:sz w:val="20"/>
        </w:rPr>
        <w:t>KRN</w:t>
      </w:r>
      <w:r>
        <w:rPr>
          <w:color w:val="1C1C1C"/>
          <w:spacing w:val="-13"/>
          <w:sz w:val="20"/>
        </w:rPr>
        <w:t> </w:t>
      </w:r>
      <w:r>
        <w:rPr>
          <w:color w:val="1C1C1C"/>
          <w:sz w:val="20"/>
        </w:rPr>
        <w:t>Circular</w:t>
      </w:r>
      <w:r>
        <w:rPr>
          <w:color w:val="1C1C1C"/>
          <w:spacing w:val="-13"/>
          <w:sz w:val="20"/>
        </w:rPr>
        <w:t> </w:t>
      </w:r>
      <w:r>
        <w:rPr>
          <w:color w:val="1C1C1C"/>
          <w:sz w:val="20"/>
        </w:rPr>
        <w:t>states</w:t>
      </w:r>
      <w:r>
        <w:rPr>
          <w:color w:val="1C1C1C"/>
          <w:spacing w:val="-12"/>
          <w:sz w:val="20"/>
        </w:rPr>
        <w:t> </w:t>
      </w:r>
      <w:r>
        <w:rPr>
          <w:color w:val="1C1C1C"/>
          <w:sz w:val="20"/>
        </w:rPr>
        <w:t>that</w:t>
      </w:r>
      <w:r>
        <w:rPr>
          <w:color w:val="1C1C1C"/>
          <w:spacing w:val="-13"/>
          <w:sz w:val="20"/>
        </w:rPr>
        <w:t> </w:t>
      </w:r>
      <w:r>
        <w:rPr>
          <w:color w:val="1C1C1C"/>
          <w:sz w:val="20"/>
        </w:rPr>
        <w:t>Scherman</w:t>
      </w:r>
      <w:r>
        <w:rPr>
          <w:color w:val="1C1C1C"/>
          <w:spacing w:val="-13"/>
          <w:sz w:val="20"/>
        </w:rPr>
        <w:t> </w:t>
      </w:r>
      <w:r>
        <w:rPr>
          <w:color w:val="1C1C1C"/>
          <w:sz w:val="20"/>
        </w:rPr>
        <w:t>was</w:t>
      </w:r>
      <w:r>
        <w:rPr>
          <w:color w:val="1C1C1C"/>
          <w:spacing w:val="-12"/>
          <w:sz w:val="20"/>
        </w:rPr>
        <w:t> </w:t>
      </w:r>
      <w:r>
        <w:rPr>
          <w:color w:val="1C1C1C"/>
          <w:sz w:val="20"/>
        </w:rPr>
        <w:t>a</w:t>
      </w:r>
      <w:r>
        <w:rPr>
          <w:color w:val="1C1C1C"/>
          <w:spacing w:val="-13"/>
          <w:sz w:val="20"/>
        </w:rPr>
        <w:t> </w:t>
      </w:r>
      <w:r>
        <w:rPr>
          <w:color w:val="1C1C1C"/>
          <w:sz w:val="20"/>
        </w:rPr>
        <w:t>director</w:t>
      </w:r>
      <w:r>
        <w:rPr>
          <w:color w:val="1C1C1C"/>
          <w:spacing w:val="-13"/>
          <w:sz w:val="20"/>
        </w:rPr>
        <w:t> </w:t>
      </w:r>
      <w:r>
        <w:rPr>
          <w:color w:val="1C1C1C"/>
          <w:sz w:val="20"/>
        </w:rPr>
        <w:t>of</w:t>
      </w:r>
      <w:r>
        <w:rPr>
          <w:color w:val="1C1C1C"/>
          <w:spacing w:val="-13"/>
          <w:sz w:val="20"/>
        </w:rPr>
        <w:t> </w:t>
      </w:r>
      <w:r>
        <w:rPr>
          <w:color w:val="1C1C1C"/>
          <w:sz w:val="20"/>
        </w:rPr>
        <w:t>AREVA</w:t>
      </w:r>
      <w:r>
        <w:rPr>
          <w:color w:val="1C1C1C"/>
          <w:spacing w:val="-13"/>
          <w:sz w:val="20"/>
        </w:rPr>
        <w:t> </w:t>
      </w:r>
      <w:r>
        <w:rPr>
          <w:color w:val="1C1C1C"/>
          <w:sz w:val="20"/>
        </w:rPr>
        <w:t>Resources</w:t>
      </w:r>
      <w:r>
        <w:rPr>
          <w:color w:val="1C1C1C"/>
          <w:spacing w:val="-13"/>
          <w:sz w:val="20"/>
        </w:rPr>
        <w:t> </w:t>
      </w:r>
      <w:r>
        <w:rPr>
          <w:color w:val="1C1C1C"/>
          <w:sz w:val="20"/>
        </w:rPr>
        <w:t>Canada</w:t>
      </w:r>
      <w:r>
        <w:rPr>
          <w:color w:val="1C1C1C"/>
          <w:spacing w:val="-12"/>
          <w:sz w:val="20"/>
        </w:rPr>
        <w:t> </w:t>
      </w:r>
      <w:r>
        <w:rPr>
          <w:color w:val="1C1C1C"/>
          <w:sz w:val="20"/>
        </w:rPr>
        <w:t>Inc.,</w:t>
      </w:r>
      <w:r>
        <w:rPr>
          <w:color w:val="1C1C1C"/>
          <w:spacing w:val="-13"/>
          <w:sz w:val="20"/>
        </w:rPr>
        <w:t> </w:t>
      </w:r>
      <w:r>
        <w:rPr>
          <w:color w:val="1C1C1C"/>
          <w:sz w:val="20"/>
        </w:rPr>
        <w:t>a</w:t>
      </w:r>
      <w:r>
        <w:rPr>
          <w:color w:val="1C1C1C"/>
          <w:spacing w:val="-12"/>
          <w:sz w:val="20"/>
        </w:rPr>
        <w:t> </w:t>
      </w:r>
      <w:r>
        <w:rPr>
          <w:color w:val="1C1C1C"/>
          <w:sz w:val="20"/>
        </w:rPr>
        <w:t>private company. I verily believe that Scherman has never been a director a Canadian public company before joining the KRN Board, based upon his filings on SEDI. </w:t>
      </w:r>
      <w:r>
        <w:rPr>
          <w:sz w:val="20"/>
        </w:rPr>
        <w:t>Attached and marked as </w:t>
      </w:r>
      <w:r>
        <w:rPr>
          <w:b/>
          <w:sz w:val="20"/>
        </w:rPr>
        <w:t>Exhibit “UU” </w:t>
      </w:r>
      <w:r>
        <w:rPr>
          <w:sz w:val="20"/>
        </w:rPr>
        <w:t>to the FDW Affidavit is a copy of Scherman’s filings on</w:t>
      </w:r>
      <w:r>
        <w:rPr>
          <w:spacing w:val="-11"/>
          <w:sz w:val="20"/>
        </w:rPr>
        <w:t> </w:t>
      </w:r>
      <w:r>
        <w:rPr>
          <w:sz w:val="20"/>
        </w:rPr>
        <w:t>SEDI.</w:t>
      </w:r>
    </w:p>
    <w:p>
      <w:pPr>
        <w:spacing w:after="0" w:line="360" w:lineRule="auto"/>
        <w:jc w:val="both"/>
        <w:rPr>
          <w:sz w:val="20"/>
        </w:rPr>
        <w:sectPr>
          <w:pgSz w:w="12240" w:h="15840"/>
          <w:pgMar w:header="0" w:footer="1259" w:top="1220" w:bottom="1440" w:left="1320" w:right="280"/>
        </w:sectPr>
      </w:pPr>
    </w:p>
    <w:p>
      <w:pPr>
        <w:pStyle w:val="ListParagraph"/>
        <w:numPr>
          <w:ilvl w:val="0"/>
          <w:numId w:val="14"/>
        </w:numPr>
        <w:tabs>
          <w:tab w:pos="1559" w:val="left" w:leader="none"/>
          <w:tab w:pos="1561" w:val="left" w:leader="none"/>
        </w:tabs>
        <w:spacing w:line="240" w:lineRule="auto" w:before="77" w:after="0"/>
        <w:ind w:left="1560" w:right="0" w:hanging="721"/>
        <w:jc w:val="left"/>
        <w:rPr>
          <w:sz w:val="20"/>
        </w:rPr>
      </w:pPr>
      <w:r>
        <w:rPr>
          <w:color w:val="1C1C1C"/>
          <w:sz w:val="20"/>
          <w:u w:val="single" w:color="1C1C1C"/>
        </w:rPr>
        <w:t>Inflated Costs of Special</w:t>
      </w:r>
      <w:r>
        <w:rPr>
          <w:color w:val="1C1C1C"/>
          <w:spacing w:val="-5"/>
          <w:sz w:val="20"/>
          <w:u w:val="single" w:color="1C1C1C"/>
        </w:rPr>
        <w:t> </w:t>
      </w:r>
      <w:r>
        <w:rPr>
          <w:color w:val="1C1C1C"/>
          <w:sz w:val="20"/>
          <w:u w:val="single" w:color="1C1C1C"/>
        </w:rPr>
        <w:t>Meeting</w:t>
      </w:r>
    </w:p>
    <w:p>
      <w:pPr>
        <w:pStyle w:val="BodyText"/>
        <w:spacing w:before="6"/>
        <w:rPr>
          <w:sz w:val="15"/>
        </w:rPr>
      </w:pPr>
    </w:p>
    <w:p>
      <w:pPr>
        <w:pStyle w:val="ListParagraph"/>
        <w:numPr>
          <w:ilvl w:val="0"/>
          <w:numId w:val="1"/>
        </w:numPr>
        <w:tabs>
          <w:tab w:pos="841" w:val="left" w:leader="none"/>
        </w:tabs>
        <w:spacing w:line="360" w:lineRule="auto" w:before="94" w:after="0"/>
        <w:ind w:left="840" w:right="1155" w:hanging="721"/>
        <w:jc w:val="both"/>
        <w:rPr>
          <w:color w:val="1C1C1C"/>
          <w:sz w:val="20"/>
        </w:rPr>
      </w:pPr>
      <w:r>
        <w:rPr>
          <w:sz w:val="20"/>
        </w:rPr>
        <w:t>I</w:t>
      </w:r>
      <w:r>
        <w:rPr>
          <w:spacing w:val="-9"/>
          <w:sz w:val="20"/>
        </w:rPr>
        <w:t> </w:t>
      </w:r>
      <w:r>
        <w:rPr>
          <w:sz w:val="20"/>
        </w:rPr>
        <w:t>verily</w:t>
      </w:r>
      <w:r>
        <w:rPr>
          <w:spacing w:val="-8"/>
          <w:sz w:val="20"/>
        </w:rPr>
        <w:t> </w:t>
      </w:r>
      <w:r>
        <w:rPr>
          <w:sz w:val="20"/>
        </w:rPr>
        <w:t>believe</w:t>
      </w:r>
      <w:r>
        <w:rPr>
          <w:spacing w:val="-9"/>
          <w:sz w:val="20"/>
        </w:rPr>
        <w:t> </w:t>
      </w:r>
      <w:r>
        <w:rPr>
          <w:sz w:val="20"/>
        </w:rPr>
        <w:t>that</w:t>
      </w:r>
      <w:r>
        <w:rPr>
          <w:spacing w:val="-8"/>
          <w:sz w:val="20"/>
        </w:rPr>
        <w:t> </w:t>
      </w:r>
      <w:r>
        <w:rPr>
          <w:sz w:val="20"/>
        </w:rPr>
        <w:t>Favreau’s</w:t>
      </w:r>
      <w:r>
        <w:rPr>
          <w:spacing w:val="-8"/>
          <w:sz w:val="20"/>
        </w:rPr>
        <w:t> </w:t>
      </w:r>
      <w:r>
        <w:rPr>
          <w:sz w:val="20"/>
        </w:rPr>
        <w:t>statement</w:t>
      </w:r>
      <w:r>
        <w:rPr>
          <w:spacing w:val="-11"/>
          <w:sz w:val="20"/>
        </w:rPr>
        <w:t> </w:t>
      </w:r>
      <w:r>
        <w:rPr>
          <w:sz w:val="20"/>
        </w:rPr>
        <w:t>and</w:t>
      </w:r>
      <w:r>
        <w:rPr>
          <w:spacing w:val="-9"/>
          <w:sz w:val="20"/>
        </w:rPr>
        <w:t> </w:t>
      </w:r>
      <w:r>
        <w:rPr>
          <w:sz w:val="20"/>
        </w:rPr>
        <w:t>claim</w:t>
      </w:r>
      <w:r>
        <w:rPr>
          <w:spacing w:val="-8"/>
          <w:sz w:val="20"/>
        </w:rPr>
        <w:t> </w:t>
      </w:r>
      <w:r>
        <w:rPr>
          <w:sz w:val="20"/>
        </w:rPr>
        <w:t>in</w:t>
      </w:r>
      <w:r>
        <w:rPr>
          <w:spacing w:val="-9"/>
          <w:sz w:val="20"/>
        </w:rPr>
        <w:t> </w:t>
      </w:r>
      <w:r>
        <w:rPr>
          <w:sz w:val="20"/>
        </w:rPr>
        <w:t>the</w:t>
      </w:r>
      <w:r>
        <w:rPr>
          <w:spacing w:val="-9"/>
          <w:sz w:val="20"/>
        </w:rPr>
        <w:t> </w:t>
      </w:r>
      <w:r>
        <w:rPr>
          <w:sz w:val="20"/>
        </w:rPr>
        <w:t>KRN</w:t>
      </w:r>
      <w:r>
        <w:rPr>
          <w:spacing w:val="-8"/>
          <w:sz w:val="20"/>
        </w:rPr>
        <w:t> </w:t>
      </w:r>
      <w:r>
        <w:rPr>
          <w:sz w:val="20"/>
        </w:rPr>
        <w:t>Circular</w:t>
      </w:r>
      <w:r>
        <w:rPr>
          <w:spacing w:val="-7"/>
          <w:sz w:val="20"/>
        </w:rPr>
        <w:t> </w:t>
      </w:r>
      <w:r>
        <w:rPr>
          <w:sz w:val="20"/>
        </w:rPr>
        <w:t>that</w:t>
      </w:r>
      <w:r>
        <w:rPr>
          <w:spacing w:val="-9"/>
          <w:sz w:val="20"/>
        </w:rPr>
        <w:t> </w:t>
      </w:r>
      <w:r>
        <w:rPr>
          <w:sz w:val="20"/>
        </w:rPr>
        <w:t>the</w:t>
      </w:r>
      <w:r>
        <w:rPr>
          <w:spacing w:val="-9"/>
          <w:sz w:val="20"/>
        </w:rPr>
        <w:t> </w:t>
      </w:r>
      <w:r>
        <w:rPr>
          <w:sz w:val="20"/>
        </w:rPr>
        <w:t>Special</w:t>
      </w:r>
      <w:r>
        <w:rPr>
          <w:spacing w:val="-9"/>
          <w:sz w:val="20"/>
        </w:rPr>
        <w:t> </w:t>
      </w:r>
      <w:r>
        <w:rPr>
          <w:sz w:val="20"/>
        </w:rPr>
        <w:t>Meeting</w:t>
      </w:r>
      <w:r>
        <w:rPr>
          <w:spacing w:val="-9"/>
          <w:sz w:val="20"/>
        </w:rPr>
        <w:t> </w:t>
      </w:r>
      <w:r>
        <w:rPr>
          <w:sz w:val="20"/>
        </w:rPr>
        <w:t>will cost</w:t>
      </w:r>
      <w:r>
        <w:rPr>
          <w:spacing w:val="-14"/>
          <w:sz w:val="20"/>
        </w:rPr>
        <w:t> </w:t>
      </w:r>
      <w:r>
        <w:rPr>
          <w:sz w:val="20"/>
        </w:rPr>
        <w:t>a</w:t>
      </w:r>
      <w:r>
        <w:rPr>
          <w:spacing w:val="-13"/>
          <w:sz w:val="20"/>
        </w:rPr>
        <w:t> </w:t>
      </w:r>
      <w:r>
        <w:rPr>
          <w:sz w:val="20"/>
        </w:rPr>
        <w:t>minimum</w:t>
      </w:r>
      <w:r>
        <w:rPr>
          <w:spacing w:val="-14"/>
          <w:sz w:val="20"/>
        </w:rPr>
        <w:t> </w:t>
      </w:r>
      <w:r>
        <w:rPr>
          <w:sz w:val="20"/>
        </w:rPr>
        <w:t>of</w:t>
      </w:r>
      <w:r>
        <w:rPr>
          <w:spacing w:val="-13"/>
          <w:sz w:val="20"/>
        </w:rPr>
        <w:t> </w:t>
      </w:r>
      <w:r>
        <w:rPr>
          <w:sz w:val="20"/>
        </w:rPr>
        <w:t>$350,000</w:t>
      </w:r>
      <w:r>
        <w:rPr>
          <w:spacing w:val="-13"/>
          <w:sz w:val="20"/>
        </w:rPr>
        <w:t> </w:t>
      </w:r>
      <w:r>
        <w:rPr>
          <w:sz w:val="20"/>
        </w:rPr>
        <w:t>is</w:t>
      </w:r>
      <w:r>
        <w:rPr>
          <w:spacing w:val="-13"/>
          <w:sz w:val="20"/>
        </w:rPr>
        <w:t> </w:t>
      </w:r>
      <w:r>
        <w:rPr>
          <w:sz w:val="20"/>
        </w:rPr>
        <w:t>an</w:t>
      </w:r>
      <w:r>
        <w:rPr>
          <w:spacing w:val="-13"/>
          <w:sz w:val="20"/>
        </w:rPr>
        <w:t> </w:t>
      </w:r>
      <w:r>
        <w:rPr>
          <w:sz w:val="20"/>
        </w:rPr>
        <w:t>intentional,</w:t>
      </w:r>
      <w:r>
        <w:rPr>
          <w:spacing w:val="-13"/>
          <w:sz w:val="20"/>
        </w:rPr>
        <w:t> </w:t>
      </w:r>
      <w:r>
        <w:rPr>
          <w:sz w:val="20"/>
        </w:rPr>
        <w:t>and</w:t>
      </w:r>
      <w:r>
        <w:rPr>
          <w:spacing w:val="-15"/>
          <w:sz w:val="20"/>
        </w:rPr>
        <w:t> </w:t>
      </w:r>
      <w:r>
        <w:rPr>
          <w:sz w:val="20"/>
        </w:rPr>
        <w:t>a</w:t>
      </w:r>
      <w:r>
        <w:rPr>
          <w:spacing w:val="-13"/>
          <w:sz w:val="20"/>
        </w:rPr>
        <w:t> </w:t>
      </w:r>
      <w:r>
        <w:rPr>
          <w:sz w:val="20"/>
        </w:rPr>
        <w:t>gross,</w:t>
      </w:r>
      <w:r>
        <w:rPr>
          <w:spacing w:val="-13"/>
          <w:sz w:val="20"/>
        </w:rPr>
        <w:t> </w:t>
      </w:r>
      <w:r>
        <w:rPr>
          <w:sz w:val="20"/>
        </w:rPr>
        <w:t>misrepresentation</w:t>
      </w:r>
      <w:r>
        <w:rPr>
          <w:spacing w:val="-13"/>
          <w:sz w:val="20"/>
        </w:rPr>
        <w:t> </w:t>
      </w:r>
      <w:r>
        <w:rPr>
          <w:sz w:val="20"/>
        </w:rPr>
        <w:t>of</w:t>
      </w:r>
      <w:r>
        <w:rPr>
          <w:spacing w:val="-14"/>
          <w:sz w:val="20"/>
        </w:rPr>
        <w:t> </w:t>
      </w:r>
      <w:r>
        <w:rPr>
          <w:sz w:val="20"/>
        </w:rPr>
        <w:t>the</w:t>
      </w:r>
      <w:r>
        <w:rPr>
          <w:spacing w:val="-13"/>
          <w:sz w:val="20"/>
        </w:rPr>
        <w:t> </w:t>
      </w:r>
      <w:r>
        <w:rPr>
          <w:sz w:val="20"/>
        </w:rPr>
        <w:t>costs</w:t>
      </w:r>
      <w:r>
        <w:rPr>
          <w:spacing w:val="-12"/>
          <w:sz w:val="20"/>
        </w:rPr>
        <w:t> </w:t>
      </w:r>
      <w:r>
        <w:rPr>
          <w:sz w:val="20"/>
        </w:rPr>
        <w:t>of</w:t>
      </w:r>
      <w:r>
        <w:rPr>
          <w:spacing w:val="-14"/>
          <w:sz w:val="20"/>
        </w:rPr>
        <w:t> </w:t>
      </w:r>
      <w:r>
        <w:rPr>
          <w:sz w:val="20"/>
        </w:rPr>
        <w:t>holding a meeting of shareholders of a Canadian publicly listed</w:t>
      </w:r>
      <w:r>
        <w:rPr>
          <w:spacing w:val="-11"/>
          <w:sz w:val="20"/>
        </w:rPr>
        <w:t> </w:t>
      </w:r>
      <w:r>
        <w:rPr>
          <w:sz w:val="20"/>
        </w:rPr>
        <w:t>company.</w:t>
      </w:r>
    </w:p>
    <w:p>
      <w:pPr>
        <w:pStyle w:val="ListParagraph"/>
        <w:numPr>
          <w:ilvl w:val="0"/>
          <w:numId w:val="1"/>
        </w:numPr>
        <w:tabs>
          <w:tab w:pos="841" w:val="left" w:leader="none"/>
        </w:tabs>
        <w:spacing w:line="360" w:lineRule="auto" w:before="159" w:after="0"/>
        <w:ind w:left="840" w:right="1156" w:hanging="721"/>
        <w:jc w:val="both"/>
        <w:rPr>
          <w:color w:val="1C1C1C"/>
          <w:sz w:val="20"/>
        </w:rPr>
      </w:pPr>
      <w:r>
        <w:rPr>
          <w:sz w:val="20"/>
        </w:rPr>
        <w:t>Based</w:t>
      </w:r>
      <w:r>
        <w:rPr>
          <w:spacing w:val="-6"/>
          <w:sz w:val="20"/>
        </w:rPr>
        <w:t> </w:t>
      </w:r>
      <w:r>
        <w:rPr>
          <w:sz w:val="20"/>
        </w:rPr>
        <w:t>on</w:t>
      </w:r>
      <w:r>
        <w:rPr>
          <w:spacing w:val="-6"/>
          <w:sz w:val="20"/>
        </w:rPr>
        <w:t> </w:t>
      </w:r>
      <w:r>
        <w:rPr>
          <w:sz w:val="20"/>
        </w:rPr>
        <w:t>my</w:t>
      </w:r>
      <w:r>
        <w:rPr>
          <w:spacing w:val="-6"/>
          <w:sz w:val="20"/>
        </w:rPr>
        <w:t> </w:t>
      </w:r>
      <w:r>
        <w:rPr>
          <w:sz w:val="20"/>
        </w:rPr>
        <w:t>experience</w:t>
      </w:r>
      <w:r>
        <w:rPr>
          <w:spacing w:val="-6"/>
          <w:sz w:val="20"/>
        </w:rPr>
        <w:t> </w:t>
      </w:r>
      <w:r>
        <w:rPr>
          <w:sz w:val="20"/>
        </w:rPr>
        <w:t>as</w:t>
      </w:r>
      <w:r>
        <w:rPr>
          <w:spacing w:val="-6"/>
          <w:sz w:val="20"/>
        </w:rPr>
        <w:t> </w:t>
      </w:r>
      <w:r>
        <w:rPr>
          <w:sz w:val="20"/>
        </w:rPr>
        <w:t>a</w:t>
      </w:r>
      <w:r>
        <w:rPr>
          <w:spacing w:val="-6"/>
          <w:sz w:val="20"/>
        </w:rPr>
        <w:t> </w:t>
      </w:r>
      <w:r>
        <w:rPr>
          <w:sz w:val="20"/>
        </w:rPr>
        <w:t>securities</w:t>
      </w:r>
      <w:r>
        <w:rPr>
          <w:spacing w:val="-6"/>
          <w:sz w:val="20"/>
        </w:rPr>
        <w:t> </w:t>
      </w:r>
      <w:r>
        <w:rPr>
          <w:sz w:val="20"/>
        </w:rPr>
        <w:t>lawyer</w:t>
      </w:r>
      <w:r>
        <w:rPr>
          <w:spacing w:val="-6"/>
          <w:sz w:val="20"/>
        </w:rPr>
        <w:t> </w:t>
      </w:r>
      <w:r>
        <w:rPr>
          <w:sz w:val="20"/>
        </w:rPr>
        <w:t>in</w:t>
      </w:r>
      <w:r>
        <w:rPr>
          <w:spacing w:val="-6"/>
          <w:sz w:val="20"/>
        </w:rPr>
        <w:t> </w:t>
      </w:r>
      <w:r>
        <w:rPr>
          <w:sz w:val="20"/>
        </w:rPr>
        <w:t>orchestrating</w:t>
      </w:r>
      <w:r>
        <w:rPr>
          <w:spacing w:val="-6"/>
          <w:sz w:val="20"/>
        </w:rPr>
        <w:t> </w:t>
      </w:r>
      <w:r>
        <w:rPr>
          <w:sz w:val="20"/>
        </w:rPr>
        <w:t>hundreds</w:t>
      </w:r>
      <w:r>
        <w:rPr>
          <w:spacing w:val="-6"/>
          <w:sz w:val="20"/>
        </w:rPr>
        <w:t> </w:t>
      </w:r>
      <w:r>
        <w:rPr>
          <w:sz w:val="20"/>
        </w:rPr>
        <w:t>of</w:t>
      </w:r>
      <w:r>
        <w:rPr>
          <w:spacing w:val="-7"/>
          <w:sz w:val="20"/>
        </w:rPr>
        <w:t> </w:t>
      </w:r>
      <w:r>
        <w:rPr>
          <w:sz w:val="20"/>
        </w:rPr>
        <w:t>shareholder</w:t>
      </w:r>
      <w:r>
        <w:rPr>
          <w:spacing w:val="-6"/>
          <w:sz w:val="20"/>
        </w:rPr>
        <w:t> </w:t>
      </w:r>
      <w:r>
        <w:rPr>
          <w:sz w:val="20"/>
        </w:rPr>
        <w:t>meetings over the past 35 years, the typical cost of shareholders meeting rarely exceeds</w:t>
      </w:r>
      <w:r>
        <w:rPr>
          <w:spacing w:val="-20"/>
          <w:sz w:val="20"/>
        </w:rPr>
        <w:t> </w:t>
      </w:r>
      <w:r>
        <w:rPr>
          <w:sz w:val="20"/>
        </w:rPr>
        <w:t>$50,000.</w:t>
      </w:r>
    </w:p>
    <w:p>
      <w:pPr>
        <w:pStyle w:val="BodyText"/>
        <w:rPr>
          <w:sz w:val="22"/>
        </w:rPr>
      </w:pPr>
    </w:p>
    <w:p>
      <w:pPr>
        <w:pStyle w:val="ListParagraph"/>
        <w:numPr>
          <w:ilvl w:val="0"/>
          <w:numId w:val="1"/>
        </w:numPr>
        <w:tabs>
          <w:tab w:pos="841" w:val="left" w:leader="none"/>
        </w:tabs>
        <w:spacing w:line="360" w:lineRule="auto" w:before="137" w:after="0"/>
        <w:ind w:left="840" w:right="1156" w:hanging="721"/>
        <w:jc w:val="both"/>
        <w:rPr>
          <w:color w:val="1C1C1C"/>
          <w:sz w:val="20"/>
        </w:rPr>
      </w:pPr>
      <w:r>
        <w:rPr>
          <w:sz w:val="20"/>
        </w:rPr>
        <w:t>Other than a 7 page “</w:t>
      </w:r>
      <w:r>
        <w:rPr>
          <w:i/>
          <w:sz w:val="20"/>
        </w:rPr>
        <w:t>Letter to Shareholders</w:t>
      </w:r>
      <w:r>
        <w:rPr>
          <w:sz w:val="20"/>
        </w:rPr>
        <w:t>” attached to the KRN Circular, the KRN Circular was a</w:t>
      </w:r>
      <w:r>
        <w:rPr>
          <w:spacing w:val="-9"/>
          <w:sz w:val="20"/>
        </w:rPr>
        <w:t> </w:t>
      </w:r>
      <w:r>
        <w:rPr>
          <w:sz w:val="20"/>
        </w:rPr>
        <w:t>relatively</w:t>
      </w:r>
      <w:r>
        <w:rPr>
          <w:spacing w:val="-7"/>
          <w:sz w:val="20"/>
        </w:rPr>
        <w:t> </w:t>
      </w:r>
      <w:r>
        <w:rPr>
          <w:sz w:val="20"/>
        </w:rPr>
        <w:t>short,</w:t>
      </w:r>
      <w:r>
        <w:rPr>
          <w:spacing w:val="-9"/>
          <w:sz w:val="20"/>
        </w:rPr>
        <w:t> </w:t>
      </w:r>
      <w:r>
        <w:rPr>
          <w:sz w:val="20"/>
        </w:rPr>
        <w:t>standard</w:t>
      </w:r>
      <w:r>
        <w:rPr>
          <w:spacing w:val="-8"/>
          <w:sz w:val="20"/>
        </w:rPr>
        <w:t> </w:t>
      </w:r>
      <w:r>
        <w:rPr>
          <w:sz w:val="20"/>
        </w:rPr>
        <w:t>form</w:t>
      </w:r>
      <w:r>
        <w:rPr>
          <w:spacing w:val="-8"/>
          <w:sz w:val="20"/>
        </w:rPr>
        <w:t> </w:t>
      </w:r>
      <w:r>
        <w:rPr>
          <w:sz w:val="20"/>
        </w:rPr>
        <w:t>of</w:t>
      </w:r>
      <w:r>
        <w:rPr>
          <w:spacing w:val="-9"/>
          <w:sz w:val="20"/>
        </w:rPr>
        <w:t> </w:t>
      </w:r>
      <w:r>
        <w:rPr>
          <w:sz w:val="20"/>
        </w:rPr>
        <w:t>information</w:t>
      </w:r>
      <w:r>
        <w:rPr>
          <w:spacing w:val="-8"/>
          <w:sz w:val="20"/>
        </w:rPr>
        <w:t> </w:t>
      </w:r>
      <w:r>
        <w:rPr>
          <w:sz w:val="20"/>
        </w:rPr>
        <w:t>circular</w:t>
      </w:r>
      <w:r>
        <w:rPr>
          <w:spacing w:val="-9"/>
          <w:sz w:val="20"/>
        </w:rPr>
        <w:t> </w:t>
      </w:r>
      <w:r>
        <w:rPr>
          <w:sz w:val="20"/>
        </w:rPr>
        <w:t>for</w:t>
      </w:r>
      <w:r>
        <w:rPr>
          <w:spacing w:val="-8"/>
          <w:sz w:val="20"/>
        </w:rPr>
        <w:t> </w:t>
      </w:r>
      <w:r>
        <w:rPr>
          <w:sz w:val="20"/>
        </w:rPr>
        <w:t>a</w:t>
      </w:r>
      <w:r>
        <w:rPr>
          <w:spacing w:val="-8"/>
          <w:sz w:val="20"/>
        </w:rPr>
        <w:t> </w:t>
      </w:r>
      <w:r>
        <w:rPr>
          <w:sz w:val="20"/>
        </w:rPr>
        <w:t>meeting</w:t>
      </w:r>
      <w:r>
        <w:rPr>
          <w:spacing w:val="-8"/>
          <w:sz w:val="20"/>
        </w:rPr>
        <w:t> </w:t>
      </w:r>
      <w:r>
        <w:rPr>
          <w:sz w:val="20"/>
        </w:rPr>
        <w:t>of</w:t>
      </w:r>
      <w:r>
        <w:rPr>
          <w:spacing w:val="-9"/>
          <w:sz w:val="20"/>
        </w:rPr>
        <w:t> </w:t>
      </w:r>
      <w:r>
        <w:rPr>
          <w:sz w:val="20"/>
        </w:rPr>
        <w:t>shareholders</w:t>
      </w:r>
      <w:r>
        <w:rPr>
          <w:spacing w:val="-7"/>
          <w:sz w:val="20"/>
        </w:rPr>
        <w:t> </w:t>
      </w:r>
      <w:r>
        <w:rPr>
          <w:sz w:val="20"/>
        </w:rPr>
        <w:t>of</w:t>
      </w:r>
      <w:r>
        <w:rPr>
          <w:spacing w:val="-8"/>
          <w:sz w:val="20"/>
        </w:rPr>
        <w:t> </w:t>
      </w:r>
      <w:r>
        <w:rPr>
          <w:sz w:val="20"/>
        </w:rPr>
        <w:t>a</w:t>
      </w:r>
      <w:r>
        <w:rPr>
          <w:spacing w:val="-9"/>
          <w:sz w:val="20"/>
        </w:rPr>
        <w:t> </w:t>
      </w:r>
      <w:r>
        <w:rPr>
          <w:sz w:val="20"/>
        </w:rPr>
        <w:t>Canadian public</w:t>
      </w:r>
      <w:r>
        <w:rPr>
          <w:spacing w:val="7"/>
          <w:sz w:val="20"/>
        </w:rPr>
        <w:t> </w:t>
      </w:r>
      <w:r>
        <w:rPr>
          <w:sz w:val="20"/>
        </w:rPr>
        <w:t>company.</w:t>
      </w:r>
      <w:r>
        <w:rPr>
          <w:spacing w:val="15"/>
          <w:sz w:val="20"/>
        </w:rPr>
        <w:t> </w:t>
      </w:r>
      <w:r>
        <w:rPr>
          <w:sz w:val="20"/>
        </w:rPr>
        <w:t>I</w:t>
      </w:r>
      <w:r>
        <w:rPr>
          <w:spacing w:val="7"/>
          <w:sz w:val="20"/>
        </w:rPr>
        <w:t> </w:t>
      </w:r>
      <w:r>
        <w:rPr>
          <w:sz w:val="20"/>
        </w:rPr>
        <w:t>verily</w:t>
      </w:r>
      <w:r>
        <w:rPr>
          <w:spacing w:val="7"/>
          <w:sz w:val="20"/>
        </w:rPr>
        <w:t> </w:t>
      </w:r>
      <w:r>
        <w:rPr>
          <w:sz w:val="20"/>
        </w:rPr>
        <w:t>believe</w:t>
      </w:r>
      <w:r>
        <w:rPr>
          <w:spacing w:val="8"/>
          <w:sz w:val="20"/>
        </w:rPr>
        <w:t> </w:t>
      </w:r>
      <w:r>
        <w:rPr>
          <w:sz w:val="20"/>
        </w:rPr>
        <w:t>that</w:t>
      </w:r>
      <w:r>
        <w:rPr>
          <w:spacing w:val="7"/>
          <w:sz w:val="20"/>
        </w:rPr>
        <w:t> </w:t>
      </w:r>
      <w:r>
        <w:rPr>
          <w:sz w:val="20"/>
        </w:rPr>
        <w:t>the</w:t>
      </w:r>
      <w:r>
        <w:rPr>
          <w:spacing w:val="8"/>
          <w:sz w:val="20"/>
        </w:rPr>
        <w:t> </w:t>
      </w:r>
      <w:r>
        <w:rPr>
          <w:sz w:val="20"/>
        </w:rPr>
        <w:t>Letter</w:t>
      </w:r>
      <w:r>
        <w:rPr>
          <w:spacing w:val="8"/>
          <w:sz w:val="20"/>
        </w:rPr>
        <w:t> </w:t>
      </w:r>
      <w:r>
        <w:rPr>
          <w:sz w:val="20"/>
        </w:rPr>
        <w:t>to</w:t>
      </w:r>
      <w:r>
        <w:rPr>
          <w:spacing w:val="7"/>
          <w:sz w:val="20"/>
        </w:rPr>
        <w:t> </w:t>
      </w:r>
      <w:r>
        <w:rPr>
          <w:sz w:val="20"/>
        </w:rPr>
        <w:t>Shareholders</w:t>
      </w:r>
      <w:r>
        <w:rPr>
          <w:spacing w:val="8"/>
          <w:sz w:val="20"/>
        </w:rPr>
        <w:t> </w:t>
      </w:r>
      <w:r>
        <w:rPr>
          <w:sz w:val="20"/>
        </w:rPr>
        <w:t>did</w:t>
      </w:r>
      <w:r>
        <w:rPr>
          <w:spacing w:val="8"/>
          <w:sz w:val="20"/>
        </w:rPr>
        <w:t> </w:t>
      </w:r>
      <w:r>
        <w:rPr>
          <w:sz w:val="20"/>
        </w:rPr>
        <w:t>not</w:t>
      </w:r>
      <w:r>
        <w:rPr>
          <w:spacing w:val="7"/>
          <w:sz w:val="20"/>
        </w:rPr>
        <w:t> </w:t>
      </w:r>
      <w:r>
        <w:rPr>
          <w:sz w:val="20"/>
        </w:rPr>
        <w:t>account</w:t>
      </w:r>
      <w:r>
        <w:rPr>
          <w:spacing w:val="7"/>
          <w:sz w:val="20"/>
        </w:rPr>
        <w:t> </w:t>
      </w:r>
      <w:r>
        <w:rPr>
          <w:sz w:val="20"/>
        </w:rPr>
        <w:t>for</w:t>
      </w:r>
      <w:r>
        <w:rPr>
          <w:spacing w:val="7"/>
          <w:sz w:val="20"/>
        </w:rPr>
        <w:t> </w:t>
      </w:r>
      <w:r>
        <w:rPr>
          <w:sz w:val="20"/>
        </w:rPr>
        <w:t>the</w:t>
      </w:r>
      <w:r>
        <w:rPr>
          <w:spacing w:val="8"/>
          <w:sz w:val="20"/>
        </w:rPr>
        <w:t> </w:t>
      </w:r>
      <w:r>
        <w:rPr>
          <w:sz w:val="20"/>
        </w:rPr>
        <w:t>additonal</w:t>
      </w:r>
    </w:p>
    <w:p>
      <w:pPr>
        <w:pStyle w:val="BodyText"/>
        <w:spacing w:line="229" w:lineRule="exact"/>
        <w:ind w:left="840"/>
        <w:jc w:val="both"/>
      </w:pPr>
      <w:r>
        <w:rPr/>
        <w:t>$300,000 in purported costs for the Special Meeting.</w:t>
      </w:r>
    </w:p>
    <w:p>
      <w:pPr>
        <w:pStyle w:val="BodyText"/>
        <w:spacing w:before="11"/>
        <w:rPr>
          <w:sz w:val="23"/>
        </w:rPr>
      </w:pPr>
    </w:p>
    <w:p>
      <w:pPr>
        <w:pStyle w:val="ListParagraph"/>
        <w:numPr>
          <w:ilvl w:val="0"/>
          <w:numId w:val="1"/>
        </w:numPr>
        <w:tabs>
          <w:tab w:pos="841" w:val="left" w:leader="none"/>
        </w:tabs>
        <w:spacing w:line="360" w:lineRule="auto" w:before="0" w:after="0"/>
        <w:ind w:left="840" w:right="1156" w:hanging="720"/>
        <w:jc w:val="both"/>
        <w:rPr>
          <w:color w:val="1C1C1C"/>
          <w:sz w:val="20"/>
        </w:rPr>
      </w:pPr>
      <w:r>
        <w:rPr>
          <w:color w:val="1C1C1C"/>
          <w:sz w:val="20"/>
        </w:rPr>
        <w:t>I verily believe that Favreau, as Controller and CFO of KRN since 2014, knows what the actual costs of all of the various annual general and special meetings of KRN during that time, and in the face of such facts, is intentionally misrepresenting the typical cost of the Special Meeting by more than seven (7)</w:t>
      </w:r>
      <w:r>
        <w:rPr>
          <w:color w:val="1C1C1C"/>
          <w:spacing w:val="-3"/>
          <w:sz w:val="20"/>
        </w:rPr>
        <w:t> </w:t>
      </w:r>
      <w:r>
        <w:rPr>
          <w:color w:val="1C1C1C"/>
          <w:sz w:val="20"/>
        </w:rPr>
        <w:t>fold.</w:t>
      </w:r>
    </w:p>
    <w:p>
      <w:pPr>
        <w:pStyle w:val="ListParagraph"/>
        <w:numPr>
          <w:ilvl w:val="0"/>
          <w:numId w:val="14"/>
        </w:numPr>
        <w:tabs>
          <w:tab w:pos="1561" w:val="left" w:leader="none"/>
        </w:tabs>
        <w:spacing w:line="240" w:lineRule="auto" w:before="158" w:after="0"/>
        <w:ind w:left="1560" w:right="0" w:hanging="721"/>
        <w:jc w:val="both"/>
        <w:rPr>
          <w:sz w:val="20"/>
        </w:rPr>
      </w:pPr>
      <w:r>
        <w:rPr>
          <w:color w:val="1C1C1C"/>
          <w:sz w:val="20"/>
          <w:u w:val="single" w:color="1C1C1C"/>
        </w:rPr>
        <w:t>Cash Resources of</w:t>
      </w:r>
      <w:r>
        <w:rPr>
          <w:color w:val="1C1C1C"/>
          <w:spacing w:val="-3"/>
          <w:sz w:val="20"/>
          <w:u w:val="single" w:color="1C1C1C"/>
        </w:rPr>
        <w:t> </w:t>
      </w:r>
      <w:r>
        <w:rPr>
          <w:color w:val="1C1C1C"/>
          <w:sz w:val="20"/>
          <w:u w:val="single" w:color="1C1C1C"/>
        </w:rPr>
        <w:t>KRN</w:t>
      </w:r>
    </w:p>
    <w:p>
      <w:pPr>
        <w:pStyle w:val="BodyText"/>
        <w:spacing w:before="8"/>
        <w:rPr>
          <w:sz w:val="15"/>
        </w:rPr>
      </w:pPr>
    </w:p>
    <w:p>
      <w:pPr>
        <w:pStyle w:val="ListParagraph"/>
        <w:numPr>
          <w:ilvl w:val="0"/>
          <w:numId w:val="1"/>
        </w:numPr>
        <w:tabs>
          <w:tab w:pos="839" w:val="left" w:leader="none"/>
          <w:tab w:pos="841" w:val="left" w:leader="none"/>
        </w:tabs>
        <w:spacing w:line="240" w:lineRule="auto" w:before="94" w:after="0"/>
        <w:ind w:left="840" w:right="0" w:hanging="721"/>
        <w:jc w:val="left"/>
        <w:rPr>
          <w:color w:val="1C1C1C"/>
          <w:sz w:val="20"/>
        </w:rPr>
      </w:pPr>
      <w:r>
        <w:rPr>
          <w:color w:val="1C1C1C"/>
          <w:sz w:val="20"/>
        </w:rPr>
        <w:t>I was the President of KRN when the Concerned Shareholders resigned from the KRN</w:t>
      </w:r>
      <w:r>
        <w:rPr>
          <w:color w:val="1C1C1C"/>
          <w:spacing w:val="-18"/>
          <w:sz w:val="20"/>
        </w:rPr>
        <w:t> </w:t>
      </w:r>
      <w:r>
        <w:rPr>
          <w:color w:val="1C1C1C"/>
          <w:sz w:val="20"/>
        </w:rPr>
        <w:t>Board.</w:t>
      </w:r>
    </w:p>
    <w:p>
      <w:pPr>
        <w:pStyle w:val="BodyText"/>
        <w:spacing w:before="9"/>
        <w:rPr>
          <w:sz w:val="23"/>
        </w:rPr>
      </w:pPr>
    </w:p>
    <w:p>
      <w:pPr>
        <w:pStyle w:val="ListParagraph"/>
        <w:numPr>
          <w:ilvl w:val="0"/>
          <w:numId w:val="1"/>
        </w:numPr>
        <w:tabs>
          <w:tab w:pos="839" w:val="left" w:leader="none"/>
          <w:tab w:pos="841" w:val="left" w:leader="none"/>
        </w:tabs>
        <w:spacing w:line="240" w:lineRule="auto" w:before="0" w:after="0"/>
        <w:ind w:left="840" w:right="0" w:hanging="721"/>
        <w:jc w:val="left"/>
        <w:rPr>
          <w:color w:val="1C1C1C"/>
          <w:sz w:val="20"/>
        </w:rPr>
      </w:pPr>
      <w:r>
        <w:rPr>
          <w:color w:val="1C1C1C"/>
          <w:sz w:val="20"/>
        </w:rPr>
        <w:t>The facts</w:t>
      </w:r>
      <w:r>
        <w:rPr>
          <w:color w:val="1C1C1C"/>
          <w:spacing w:val="-2"/>
          <w:sz w:val="20"/>
        </w:rPr>
        <w:t> </w:t>
      </w:r>
      <w:r>
        <w:rPr>
          <w:color w:val="1C1C1C"/>
          <w:sz w:val="20"/>
        </w:rPr>
        <w:t>are:</w:t>
      </w:r>
    </w:p>
    <w:p>
      <w:pPr>
        <w:pStyle w:val="BodyText"/>
        <w:spacing w:before="9"/>
        <w:rPr>
          <w:sz w:val="23"/>
        </w:rPr>
      </w:pPr>
    </w:p>
    <w:p>
      <w:pPr>
        <w:pStyle w:val="ListParagraph"/>
        <w:numPr>
          <w:ilvl w:val="1"/>
          <w:numId w:val="1"/>
        </w:numPr>
        <w:tabs>
          <w:tab w:pos="1559" w:val="left" w:leader="none"/>
          <w:tab w:pos="1561" w:val="left" w:leader="none"/>
        </w:tabs>
        <w:spacing w:line="240" w:lineRule="auto" w:before="0" w:after="0"/>
        <w:ind w:left="1560" w:right="0" w:hanging="721"/>
        <w:jc w:val="left"/>
        <w:rPr>
          <w:rFonts w:ascii="Symbol" w:hAnsi="Symbol"/>
          <w:color w:val="1C1C1C"/>
          <w:sz w:val="20"/>
        </w:rPr>
      </w:pPr>
      <w:r>
        <w:rPr>
          <w:color w:val="1C1C1C"/>
          <w:sz w:val="20"/>
        </w:rPr>
        <w:t>KRN had approximately $9 million in cash before the Rights</w:t>
      </w:r>
      <w:r>
        <w:rPr>
          <w:color w:val="1C1C1C"/>
          <w:spacing w:val="-13"/>
          <w:sz w:val="20"/>
        </w:rPr>
        <w:t> </w:t>
      </w:r>
      <w:r>
        <w:rPr>
          <w:color w:val="1C1C1C"/>
          <w:sz w:val="20"/>
        </w:rPr>
        <w:t>Offering;</w:t>
      </w:r>
    </w:p>
    <w:p>
      <w:pPr>
        <w:pStyle w:val="BodyText"/>
        <w:spacing w:before="8"/>
        <w:rPr>
          <w:sz w:val="23"/>
        </w:rPr>
      </w:pPr>
    </w:p>
    <w:p>
      <w:pPr>
        <w:pStyle w:val="ListParagraph"/>
        <w:numPr>
          <w:ilvl w:val="1"/>
          <w:numId w:val="1"/>
        </w:numPr>
        <w:tabs>
          <w:tab w:pos="1559" w:val="left" w:leader="none"/>
          <w:tab w:pos="1561" w:val="left" w:leader="none"/>
        </w:tabs>
        <w:spacing w:line="240" w:lineRule="auto" w:before="0" w:after="0"/>
        <w:ind w:left="1560" w:right="0" w:hanging="721"/>
        <w:jc w:val="left"/>
        <w:rPr>
          <w:rFonts w:ascii="Symbol" w:hAnsi="Symbol"/>
          <w:color w:val="1C1C1C"/>
          <w:sz w:val="20"/>
        </w:rPr>
      </w:pPr>
      <w:r>
        <w:rPr>
          <w:color w:val="1C1C1C"/>
          <w:sz w:val="20"/>
        </w:rPr>
        <w:t>the Rights Offering raised a total of approximately $2.3 million in</w:t>
      </w:r>
      <w:r>
        <w:rPr>
          <w:color w:val="1C1C1C"/>
          <w:spacing w:val="-16"/>
          <w:sz w:val="20"/>
        </w:rPr>
        <w:t> </w:t>
      </w:r>
      <w:r>
        <w:rPr>
          <w:color w:val="1C1C1C"/>
          <w:sz w:val="20"/>
        </w:rPr>
        <w:t>cash;</w:t>
      </w:r>
    </w:p>
    <w:p>
      <w:pPr>
        <w:pStyle w:val="BodyText"/>
        <w:spacing w:before="9"/>
        <w:rPr>
          <w:sz w:val="23"/>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color w:val="1C1C1C"/>
          <w:sz w:val="20"/>
        </w:rPr>
      </w:pPr>
      <w:r>
        <w:rPr>
          <w:color w:val="1C1C1C"/>
          <w:sz w:val="20"/>
        </w:rPr>
        <w:t>KRN had approximately $11.3 million in cash after completion of the Rights</w:t>
      </w:r>
      <w:r>
        <w:rPr>
          <w:color w:val="1C1C1C"/>
          <w:spacing w:val="-17"/>
          <w:sz w:val="20"/>
        </w:rPr>
        <w:t> </w:t>
      </w:r>
      <w:r>
        <w:rPr>
          <w:color w:val="1C1C1C"/>
          <w:sz w:val="20"/>
        </w:rPr>
        <w:t>Offering;</w:t>
      </w:r>
    </w:p>
    <w:p>
      <w:pPr>
        <w:pStyle w:val="BodyText"/>
        <w:spacing w:before="8"/>
        <w:rPr>
          <w:sz w:val="23"/>
        </w:rPr>
      </w:pPr>
    </w:p>
    <w:p>
      <w:pPr>
        <w:pStyle w:val="ListParagraph"/>
        <w:numPr>
          <w:ilvl w:val="1"/>
          <w:numId w:val="1"/>
        </w:numPr>
        <w:tabs>
          <w:tab w:pos="1559" w:val="left" w:leader="none"/>
          <w:tab w:pos="1560" w:val="left" w:leader="none"/>
        </w:tabs>
        <w:spacing w:line="350" w:lineRule="auto" w:before="0" w:after="0"/>
        <w:ind w:left="1559" w:right="1158" w:hanging="721"/>
        <w:jc w:val="left"/>
        <w:rPr>
          <w:rFonts w:ascii="Symbol" w:hAnsi="Symbol"/>
          <w:color w:val="1C1C1C"/>
          <w:sz w:val="20"/>
        </w:rPr>
      </w:pPr>
      <w:r>
        <w:rPr>
          <w:color w:val="1C1C1C"/>
          <w:sz w:val="20"/>
        </w:rPr>
        <w:t>KRN</w:t>
      </w:r>
      <w:r>
        <w:rPr>
          <w:color w:val="1C1C1C"/>
          <w:spacing w:val="-6"/>
          <w:sz w:val="20"/>
        </w:rPr>
        <w:t> </w:t>
      </w:r>
      <w:r>
        <w:rPr>
          <w:color w:val="1C1C1C"/>
          <w:sz w:val="20"/>
        </w:rPr>
        <w:t>had</w:t>
      </w:r>
      <w:r>
        <w:rPr>
          <w:color w:val="1C1C1C"/>
          <w:spacing w:val="-6"/>
          <w:sz w:val="20"/>
        </w:rPr>
        <w:t> </w:t>
      </w:r>
      <w:r>
        <w:rPr>
          <w:color w:val="1C1C1C"/>
          <w:sz w:val="20"/>
        </w:rPr>
        <w:t>approximately</w:t>
      </w:r>
      <w:r>
        <w:rPr>
          <w:color w:val="1C1C1C"/>
          <w:spacing w:val="-6"/>
          <w:sz w:val="20"/>
        </w:rPr>
        <w:t> </w:t>
      </w:r>
      <w:r>
        <w:rPr>
          <w:color w:val="1C1C1C"/>
          <w:sz w:val="20"/>
        </w:rPr>
        <w:t>$11.3</w:t>
      </w:r>
      <w:r>
        <w:rPr>
          <w:color w:val="1C1C1C"/>
          <w:spacing w:val="-5"/>
          <w:sz w:val="20"/>
        </w:rPr>
        <w:t> </w:t>
      </w:r>
      <w:r>
        <w:rPr>
          <w:color w:val="1C1C1C"/>
          <w:sz w:val="20"/>
        </w:rPr>
        <w:t>million</w:t>
      </w:r>
      <w:r>
        <w:rPr>
          <w:color w:val="1C1C1C"/>
          <w:spacing w:val="-6"/>
          <w:sz w:val="20"/>
        </w:rPr>
        <w:t> </w:t>
      </w:r>
      <w:r>
        <w:rPr>
          <w:color w:val="1C1C1C"/>
          <w:sz w:val="20"/>
        </w:rPr>
        <w:t>in</w:t>
      </w:r>
      <w:r>
        <w:rPr>
          <w:color w:val="1C1C1C"/>
          <w:spacing w:val="-7"/>
          <w:sz w:val="20"/>
        </w:rPr>
        <w:t> </w:t>
      </w:r>
      <w:r>
        <w:rPr>
          <w:color w:val="1C1C1C"/>
          <w:sz w:val="20"/>
        </w:rPr>
        <w:t>cash</w:t>
      </w:r>
      <w:r>
        <w:rPr>
          <w:color w:val="1C1C1C"/>
          <w:spacing w:val="-5"/>
          <w:sz w:val="20"/>
        </w:rPr>
        <w:t> </w:t>
      </w:r>
      <w:r>
        <w:rPr>
          <w:color w:val="1C1C1C"/>
          <w:sz w:val="20"/>
        </w:rPr>
        <w:t>when</w:t>
      </w:r>
      <w:r>
        <w:rPr>
          <w:color w:val="1C1C1C"/>
          <w:spacing w:val="-6"/>
          <w:sz w:val="20"/>
        </w:rPr>
        <w:t> </w:t>
      </w:r>
      <w:r>
        <w:rPr>
          <w:color w:val="1C1C1C"/>
          <w:sz w:val="20"/>
        </w:rPr>
        <w:t>the</w:t>
      </w:r>
      <w:r>
        <w:rPr>
          <w:color w:val="1C1C1C"/>
          <w:spacing w:val="-6"/>
          <w:sz w:val="20"/>
        </w:rPr>
        <w:t> </w:t>
      </w:r>
      <w:r>
        <w:rPr>
          <w:color w:val="1C1C1C"/>
          <w:sz w:val="20"/>
        </w:rPr>
        <w:t>Concerned</w:t>
      </w:r>
      <w:r>
        <w:rPr>
          <w:color w:val="1C1C1C"/>
          <w:spacing w:val="-7"/>
          <w:sz w:val="20"/>
        </w:rPr>
        <w:t> </w:t>
      </w:r>
      <w:r>
        <w:rPr>
          <w:color w:val="1C1C1C"/>
          <w:sz w:val="20"/>
        </w:rPr>
        <w:t>Shareholders</w:t>
      </w:r>
      <w:r>
        <w:rPr>
          <w:color w:val="1C1C1C"/>
          <w:spacing w:val="-6"/>
          <w:sz w:val="20"/>
        </w:rPr>
        <w:t> </w:t>
      </w:r>
      <w:r>
        <w:rPr>
          <w:color w:val="1C1C1C"/>
          <w:sz w:val="20"/>
        </w:rPr>
        <w:t>resigned from the KRN</w:t>
      </w:r>
      <w:r>
        <w:rPr>
          <w:color w:val="1C1C1C"/>
          <w:spacing w:val="-5"/>
          <w:sz w:val="20"/>
        </w:rPr>
        <w:t> </w:t>
      </w:r>
      <w:r>
        <w:rPr>
          <w:color w:val="1C1C1C"/>
          <w:sz w:val="20"/>
        </w:rPr>
        <w:t>Board.</w:t>
      </w:r>
    </w:p>
    <w:p>
      <w:pPr>
        <w:pStyle w:val="BodyText"/>
        <w:spacing w:line="360" w:lineRule="auto" w:before="169"/>
        <w:ind w:left="839" w:right="1085"/>
      </w:pPr>
      <w:r>
        <w:rPr>
          <w:color w:val="1C1C1C"/>
        </w:rPr>
        <w:t>Attached</w:t>
      </w:r>
      <w:r>
        <w:rPr>
          <w:color w:val="1C1C1C"/>
          <w:spacing w:val="-9"/>
        </w:rPr>
        <w:t> </w:t>
      </w:r>
      <w:r>
        <w:rPr>
          <w:color w:val="1C1C1C"/>
        </w:rPr>
        <w:t>as</w:t>
      </w:r>
      <w:r>
        <w:rPr>
          <w:color w:val="1C1C1C"/>
          <w:spacing w:val="-7"/>
        </w:rPr>
        <w:t> </w:t>
      </w:r>
      <w:r>
        <w:rPr>
          <w:color w:val="1C1C1C"/>
        </w:rPr>
        <w:t>Exhibit</w:t>
      </w:r>
      <w:r>
        <w:rPr>
          <w:color w:val="1C1C1C"/>
          <w:spacing w:val="-8"/>
        </w:rPr>
        <w:t> </w:t>
      </w:r>
      <w:r>
        <w:rPr>
          <w:color w:val="1C1C1C"/>
        </w:rPr>
        <w:t>“Z”</w:t>
      </w:r>
      <w:r>
        <w:rPr>
          <w:color w:val="1C1C1C"/>
          <w:spacing w:val="-8"/>
        </w:rPr>
        <w:t> </w:t>
      </w:r>
      <w:r>
        <w:rPr>
          <w:color w:val="1C1C1C"/>
        </w:rPr>
        <w:t>to</w:t>
      </w:r>
      <w:r>
        <w:rPr>
          <w:color w:val="1C1C1C"/>
          <w:spacing w:val="-8"/>
        </w:rPr>
        <w:t> </w:t>
      </w:r>
      <w:r>
        <w:rPr>
          <w:color w:val="1C1C1C"/>
        </w:rPr>
        <w:t>the</w:t>
      </w:r>
      <w:r>
        <w:rPr>
          <w:color w:val="1C1C1C"/>
          <w:spacing w:val="-8"/>
        </w:rPr>
        <w:t> </w:t>
      </w:r>
      <w:r>
        <w:rPr>
          <w:color w:val="1C1C1C"/>
        </w:rPr>
        <w:t>FDW</w:t>
      </w:r>
      <w:r>
        <w:rPr>
          <w:color w:val="1C1C1C"/>
          <w:spacing w:val="-8"/>
        </w:rPr>
        <w:t> </w:t>
      </w:r>
      <w:r>
        <w:rPr>
          <w:color w:val="1C1C1C"/>
        </w:rPr>
        <w:t>Affidavit</w:t>
      </w:r>
      <w:r>
        <w:rPr>
          <w:color w:val="1C1C1C"/>
          <w:spacing w:val="-8"/>
        </w:rPr>
        <w:t> </w:t>
      </w:r>
      <w:r>
        <w:rPr>
          <w:color w:val="1C1C1C"/>
        </w:rPr>
        <w:t>is</w:t>
      </w:r>
      <w:r>
        <w:rPr>
          <w:color w:val="1C1C1C"/>
          <w:spacing w:val="-7"/>
        </w:rPr>
        <w:t> </w:t>
      </w:r>
      <w:r>
        <w:rPr>
          <w:color w:val="1C1C1C"/>
        </w:rPr>
        <w:t>page</w:t>
      </w:r>
      <w:r>
        <w:rPr>
          <w:color w:val="1C1C1C"/>
          <w:spacing w:val="-9"/>
        </w:rPr>
        <w:t> </w:t>
      </w:r>
      <w:r>
        <w:rPr>
          <w:color w:val="1C1C1C"/>
        </w:rPr>
        <w:t>1</w:t>
      </w:r>
      <w:r>
        <w:rPr>
          <w:color w:val="1C1C1C"/>
          <w:spacing w:val="-8"/>
        </w:rPr>
        <w:t> </w:t>
      </w:r>
      <w:r>
        <w:rPr>
          <w:color w:val="1C1C1C"/>
        </w:rPr>
        <w:t>of</w:t>
      </w:r>
      <w:r>
        <w:rPr>
          <w:color w:val="1C1C1C"/>
          <w:spacing w:val="-8"/>
        </w:rPr>
        <w:t> </w:t>
      </w:r>
      <w:r>
        <w:rPr>
          <w:color w:val="1C1C1C"/>
        </w:rPr>
        <w:t>the</w:t>
      </w:r>
      <w:r>
        <w:rPr>
          <w:color w:val="1C1C1C"/>
          <w:spacing w:val="-8"/>
        </w:rPr>
        <w:t> </w:t>
      </w:r>
      <w:r>
        <w:rPr>
          <w:color w:val="1C1C1C"/>
        </w:rPr>
        <w:t>2019</w:t>
      </w:r>
      <w:r>
        <w:rPr>
          <w:color w:val="1C1C1C"/>
          <w:spacing w:val="-9"/>
        </w:rPr>
        <w:t> </w:t>
      </w:r>
      <w:r>
        <w:rPr>
          <w:color w:val="1C1C1C"/>
        </w:rPr>
        <w:t>third</w:t>
      </w:r>
      <w:r>
        <w:rPr>
          <w:color w:val="1C1C1C"/>
          <w:spacing w:val="-8"/>
        </w:rPr>
        <w:t> </w:t>
      </w:r>
      <w:r>
        <w:rPr>
          <w:color w:val="1C1C1C"/>
        </w:rPr>
        <w:t>quarter</w:t>
      </w:r>
      <w:r>
        <w:rPr>
          <w:color w:val="1C1C1C"/>
          <w:spacing w:val="-7"/>
        </w:rPr>
        <w:t> </w:t>
      </w:r>
      <w:r>
        <w:rPr>
          <w:color w:val="1C1C1C"/>
        </w:rPr>
        <w:t>financial</w:t>
      </w:r>
      <w:r>
        <w:rPr>
          <w:color w:val="1C1C1C"/>
          <w:spacing w:val="-9"/>
        </w:rPr>
        <w:t> </w:t>
      </w:r>
      <w:r>
        <w:rPr>
          <w:color w:val="1C1C1C"/>
        </w:rPr>
        <w:t>statements of</w:t>
      </w:r>
      <w:r>
        <w:rPr>
          <w:color w:val="1C1C1C"/>
          <w:spacing w:val="-1"/>
        </w:rPr>
        <w:t> </w:t>
      </w:r>
      <w:r>
        <w:rPr>
          <w:color w:val="1C1C1C"/>
        </w:rPr>
        <w:t>KRN.</w:t>
      </w:r>
    </w:p>
    <w:p>
      <w:pPr>
        <w:pStyle w:val="ListParagraph"/>
        <w:numPr>
          <w:ilvl w:val="0"/>
          <w:numId w:val="1"/>
        </w:numPr>
        <w:tabs>
          <w:tab w:pos="840" w:val="left" w:leader="none"/>
        </w:tabs>
        <w:spacing w:line="360" w:lineRule="auto" w:before="159" w:after="0"/>
        <w:ind w:left="839" w:right="1157" w:hanging="721"/>
        <w:jc w:val="both"/>
        <w:rPr>
          <w:color w:val="1C1C1C"/>
          <w:sz w:val="20"/>
        </w:rPr>
      </w:pPr>
      <w:r>
        <w:rPr>
          <w:color w:val="1C1C1C"/>
          <w:sz w:val="20"/>
        </w:rPr>
        <w:t>I verily believe that Favreau and the KRN Board know the facts, and are intentionally lying and misrepresenting the facts in the KRN Circular, when they state that the Concerned Shareholders left KRN with depleted cash resources when they</w:t>
      </w:r>
      <w:r>
        <w:rPr>
          <w:color w:val="1C1C1C"/>
          <w:spacing w:val="-9"/>
          <w:sz w:val="20"/>
        </w:rPr>
        <w:t> </w:t>
      </w:r>
      <w:r>
        <w:rPr>
          <w:color w:val="1C1C1C"/>
          <w:sz w:val="20"/>
        </w:rPr>
        <w:t>resigned.</w:t>
      </w:r>
    </w:p>
    <w:p>
      <w:pPr>
        <w:spacing w:after="0" w:line="360" w:lineRule="auto"/>
        <w:jc w:val="both"/>
        <w:rPr>
          <w:sz w:val="20"/>
        </w:rPr>
        <w:sectPr>
          <w:footerReference w:type="default" r:id="rId18"/>
          <w:pgSz w:w="12240" w:h="15840"/>
          <w:pgMar w:footer="1259" w:header="0" w:top="1220" w:bottom="1440" w:left="1320" w:right="280"/>
          <w:pgNumType w:start="33"/>
        </w:sectPr>
      </w:pPr>
    </w:p>
    <w:p>
      <w:pPr>
        <w:pStyle w:val="ListParagraph"/>
        <w:numPr>
          <w:ilvl w:val="0"/>
          <w:numId w:val="14"/>
        </w:numPr>
        <w:tabs>
          <w:tab w:pos="1559" w:val="left" w:leader="none"/>
          <w:tab w:pos="1560" w:val="left" w:leader="none"/>
        </w:tabs>
        <w:spacing w:line="240" w:lineRule="auto" w:before="77" w:after="0"/>
        <w:ind w:left="1559" w:right="0" w:hanging="720"/>
        <w:jc w:val="left"/>
        <w:rPr>
          <w:sz w:val="20"/>
        </w:rPr>
      </w:pPr>
      <w:r>
        <w:rPr>
          <w:color w:val="1C1C1C"/>
          <w:sz w:val="20"/>
          <w:u w:val="single" w:color="1C1C1C"/>
        </w:rPr>
        <w:t>Inflated Cost of Feasibility</w:t>
      </w:r>
      <w:r>
        <w:rPr>
          <w:color w:val="1C1C1C"/>
          <w:spacing w:val="-4"/>
          <w:sz w:val="20"/>
          <w:u w:val="single" w:color="1C1C1C"/>
        </w:rPr>
        <w:t> </w:t>
      </w:r>
      <w:r>
        <w:rPr>
          <w:color w:val="1C1C1C"/>
          <w:sz w:val="20"/>
          <w:u w:val="single" w:color="1C1C1C"/>
        </w:rPr>
        <w:t>Study</w:t>
      </w:r>
    </w:p>
    <w:p>
      <w:pPr>
        <w:pStyle w:val="BodyText"/>
        <w:spacing w:before="6"/>
        <w:rPr>
          <w:sz w:val="15"/>
        </w:rPr>
      </w:pPr>
    </w:p>
    <w:p>
      <w:pPr>
        <w:pStyle w:val="ListParagraph"/>
        <w:numPr>
          <w:ilvl w:val="0"/>
          <w:numId w:val="1"/>
        </w:numPr>
        <w:tabs>
          <w:tab w:pos="841" w:val="left" w:leader="none"/>
        </w:tabs>
        <w:spacing w:line="360" w:lineRule="auto" w:before="94" w:after="0"/>
        <w:ind w:left="839" w:right="1157" w:hanging="720"/>
        <w:jc w:val="both"/>
        <w:rPr>
          <w:color w:val="1C1C1C"/>
          <w:sz w:val="20"/>
        </w:rPr>
      </w:pPr>
      <w:r>
        <w:rPr>
          <w:color w:val="1C1C1C"/>
          <w:sz w:val="20"/>
        </w:rPr>
        <w:t>I requested the Wood Proposal. I had the discussion with Wood as to the scope of the Wood Proposal, the timing and the cost, and I advised the KRN Board of such details. Favreau was fully aware of these details. I verily believe that Favreau and the KRN Board know the facts, and are intentionally lying and misrepresenting the cost of a feasibility study on the Nitrogen Project when they suggest it will cost in excess of $5 million, when the Wood Proposal had a cost estimate of approximately $2.5</w:t>
      </w:r>
      <w:r>
        <w:rPr>
          <w:color w:val="1C1C1C"/>
          <w:spacing w:val="-2"/>
          <w:sz w:val="20"/>
        </w:rPr>
        <w:t> </w:t>
      </w:r>
      <w:r>
        <w:rPr>
          <w:color w:val="1C1C1C"/>
          <w:sz w:val="20"/>
        </w:rPr>
        <w:t>million.</w:t>
      </w:r>
    </w:p>
    <w:p>
      <w:pPr>
        <w:pStyle w:val="BodyText"/>
        <w:spacing w:before="10"/>
      </w:pPr>
    </w:p>
    <w:p>
      <w:pPr>
        <w:pStyle w:val="ListParagraph"/>
        <w:numPr>
          <w:ilvl w:val="0"/>
          <w:numId w:val="14"/>
        </w:numPr>
        <w:tabs>
          <w:tab w:pos="1559" w:val="left" w:leader="none"/>
          <w:tab w:pos="1561" w:val="left" w:leader="none"/>
        </w:tabs>
        <w:spacing w:line="240" w:lineRule="auto" w:before="0" w:after="0"/>
        <w:ind w:left="1560" w:right="0" w:hanging="721"/>
        <w:jc w:val="left"/>
        <w:rPr>
          <w:sz w:val="20"/>
        </w:rPr>
      </w:pPr>
      <w:r>
        <w:rPr>
          <w:color w:val="1C1C1C"/>
          <w:sz w:val="20"/>
          <w:u w:val="single" w:color="1C1C1C"/>
        </w:rPr>
        <w:t>Use of Proceeds of Rights</w:t>
      </w:r>
      <w:r>
        <w:rPr>
          <w:color w:val="1C1C1C"/>
          <w:spacing w:val="-6"/>
          <w:sz w:val="20"/>
          <w:u w:val="single" w:color="1C1C1C"/>
        </w:rPr>
        <w:t> </w:t>
      </w:r>
      <w:r>
        <w:rPr>
          <w:color w:val="1C1C1C"/>
          <w:sz w:val="20"/>
          <w:u w:val="single" w:color="1C1C1C"/>
        </w:rPr>
        <w:t>Offering</w:t>
      </w:r>
    </w:p>
    <w:p>
      <w:pPr>
        <w:pStyle w:val="BodyText"/>
        <w:spacing w:before="7"/>
        <w:rPr>
          <w:sz w:val="22"/>
        </w:rPr>
      </w:pPr>
    </w:p>
    <w:p>
      <w:pPr>
        <w:pStyle w:val="ListParagraph"/>
        <w:numPr>
          <w:ilvl w:val="0"/>
          <w:numId w:val="1"/>
        </w:numPr>
        <w:tabs>
          <w:tab w:pos="841" w:val="left" w:leader="none"/>
        </w:tabs>
        <w:spacing w:line="360" w:lineRule="auto" w:before="94" w:after="0"/>
        <w:ind w:left="839" w:right="1156" w:hanging="720"/>
        <w:jc w:val="both"/>
        <w:rPr>
          <w:sz w:val="20"/>
        </w:rPr>
      </w:pPr>
      <w:r>
        <w:rPr>
          <w:sz w:val="20"/>
        </w:rPr>
        <w:t>I recommended KRN undertake the Rights Offering. The approximately $9 million in cash KRN had</w:t>
      </w:r>
      <w:r>
        <w:rPr>
          <w:spacing w:val="-4"/>
          <w:sz w:val="20"/>
        </w:rPr>
        <w:t> </w:t>
      </w:r>
      <w:r>
        <w:rPr>
          <w:sz w:val="20"/>
        </w:rPr>
        <w:t>on</w:t>
      </w:r>
      <w:r>
        <w:rPr>
          <w:spacing w:val="-3"/>
          <w:sz w:val="20"/>
        </w:rPr>
        <w:t> </w:t>
      </w:r>
      <w:r>
        <w:rPr>
          <w:sz w:val="20"/>
        </w:rPr>
        <w:t>hand</w:t>
      </w:r>
      <w:r>
        <w:rPr>
          <w:spacing w:val="-3"/>
          <w:sz w:val="20"/>
        </w:rPr>
        <w:t> </w:t>
      </w:r>
      <w:r>
        <w:rPr>
          <w:sz w:val="20"/>
        </w:rPr>
        <w:t>in</w:t>
      </w:r>
      <w:r>
        <w:rPr>
          <w:spacing w:val="-3"/>
          <w:sz w:val="20"/>
        </w:rPr>
        <w:t> </w:t>
      </w:r>
      <w:r>
        <w:rPr>
          <w:sz w:val="20"/>
        </w:rPr>
        <w:t>September</w:t>
      </w:r>
      <w:r>
        <w:rPr>
          <w:spacing w:val="-4"/>
          <w:sz w:val="20"/>
        </w:rPr>
        <w:t> </w:t>
      </w:r>
      <w:r>
        <w:rPr>
          <w:sz w:val="20"/>
        </w:rPr>
        <w:t>2018</w:t>
      </w:r>
      <w:r>
        <w:rPr>
          <w:spacing w:val="-4"/>
          <w:sz w:val="20"/>
        </w:rPr>
        <w:t> </w:t>
      </w:r>
      <w:r>
        <w:rPr>
          <w:sz w:val="20"/>
        </w:rPr>
        <w:t>was</w:t>
      </w:r>
      <w:r>
        <w:rPr>
          <w:spacing w:val="-2"/>
          <w:sz w:val="20"/>
        </w:rPr>
        <w:t> </w:t>
      </w:r>
      <w:r>
        <w:rPr>
          <w:sz w:val="20"/>
        </w:rPr>
        <w:t>to</w:t>
      </w:r>
      <w:r>
        <w:rPr>
          <w:spacing w:val="-4"/>
          <w:sz w:val="20"/>
        </w:rPr>
        <w:t> </w:t>
      </w:r>
      <w:r>
        <w:rPr>
          <w:sz w:val="20"/>
        </w:rPr>
        <w:t>be</w:t>
      </w:r>
      <w:r>
        <w:rPr>
          <w:spacing w:val="-4"/>
          <w:sz w:val="20"/>
        </w:rPr>
        <w:t> </w:t>
      </w:r>
      <w:r>
        <w:rPr>
          <w:sz w:val="20"/>
        </w:rPr>
        <w:t>used</w:t>
      </w:r>
      <w:r>
        <w:rPr>
          <w:spacing w:val="-3"/>
          <w:sz w:val="20"/>
        </w:rPr>
        <w:t> </w:t>
      </w:r>
      <w:r>
        <w:rPr>
          <w:sz w:val="20"/>
        </w:rPr>
        <w:t>to</w:t>
      </w:r>
      <w:r>
        <w:rPr>
          <w:spacing w:val="-4"/>
          <w:sz w:val="20"/>
        </w:rPr>
        <w:t> </w:t>
      </w:r>
      <w:r>
        <w:rPr>
          <w:sz w:val="20"/>
        </w:rPr>
        <w:t>pay</w:t>
      </w:r>
      <w:r>
        <w:rPr>
          <w:spacing w:val="-2"/>
          <w:sz w:val="20"/>
        </w:rPr>
        <w:t> </w:t>
      </w:r>
      <w:r>
        <w:rPr>
          <w:sz w:val="20"/>
        </w:rPr>
        <w:t>the</w:t>
      </w:r>
      <w:r>
        <w:rPr>
          <w:spacing w:val="-4"/>
          <w:sz w:val="20"/>
        </w:rPr>
        <w:t> </w:t>
      </w:r>
      <w:r>
        <w:rPr>
          <w:sz w:val="20"/>
        </w:rPr>
        <w:t>annual</w:t>
      </w:r>
      <w:r>
        <w:rPr>
          <w:spacing w:val="-4"/>
          <w:sz w:val="20"/>
        </w:rPr>
        <w:t> </w:t>
      </w:r>
      <w:r>
        <w:rPr>
          <w:sz w:val="20"/>
        </w:rPr>
        <w:t>costs</w:t>
      </w:r>
      <w:r>
        <w:rPr>
          <w:spacing w:val="-2"/>
          <w:sz w:val="20"/>
        </w:rPr>
        <w:t> </w:t>
      </w:r>
      <w:r>
        <w:rPr>
          <w:sz w:val="20"/>
        </w:rPr>
        <w:t>of</w:t>
      </w:r>
      <w:r>
        <w:rPr>
          <w:spacing w:val="-4"/>
          <w:sz w:val="20"/>
        </w:rPr>
        <w:t> </w:t>
      </w:r>
      <w:r>
        <w:rPr>
          <w:sz w:val="20"/>
        </w:rPr>
        <w:t>the</w:t>
      </w:r>
      <w:r>
        <w:rPr>
          <w:spacing w:val="-4"/>
          <w:sz w:val="20"/>
        </w:rPr>
        <w:t> </w:t>
      </w:r>
      <w:r>
        <w:rPr>
          <w:sz w:val="20"/>
        </w:rPr>
        <w:t>Potash</w:t>
      </w:r>
      <w:r>
        <w:rPr>
          <w:spacing w:val="-3"/>
          <w:sz w:val="20"/>
        </w:rPr>
        <w:t> </w:t>
      </w:r>
      <w:r>
        <w:rPr>
          <w:sz w:val="20"/>
        </w:rPr>
        <w:t>Project</w:t>
      </w:r>
      <w:r>
        <w:rPr>
          <w:spacing w:val="-5"/>
          <w:sz w:val="20"/>
        </w:rPr>
        <w:t> </w:t>
      </w:r>
      <w:r>
        <w:rPr>
          <w:sz w:val="20"/>
        </w:rPr>
        <w:t>and general and administrative expenses. Annual maintenance costs of the Potash Project included approximately</w:t>
      </w:r>
      <w:r>
        <w:rPr>
          <w:spacing w:val="-12"/>
          <w:sz w:val="20"/>
        </w:rPr>
        <w:t> </w:t>
      </w:r>
      <w:r>
        <w:rPr>
          <w:sz w:val="20"/>
        </w:rPr>
        <w:t>$350,000</w:t>
      </w:r>
      <w:r>
        <w:rPr>
          <w:spacing w:val="-12"/>
          <w:sz w:val="20"/>
        </w:rPr>
        <w:t> </w:t>
      </w:r>
      <w:r>
        <w:rPr>
          <w:sz w:val="20"/>
        </w:rPr>
        <w:t>in</w:t>
      </w:r>
      <w:r>
        <w:rPr>
          <w:spacing w:val="-12"/>
          <w:sz w:val="20"/>
        </w:rPr>
        <w:t> </w:t>
      </w:r>
      <w:r>
        <w:rPr>
          <w:sz w:val="20"/>
        </w:rPr>
        <w:t>annual</w:t>
      </w:r>
      <w:r>
        <w:rPr>
          <w:spacing w:val="-13"/>
          <w:sz w:val="20"/>
        </w:rPr>
        <w:t> </w:t>
      </w:r>
      <w:r>
        <w:rPr>
          <w:sz w:val="20"/>
        </w:rPr>
        <w:t>mining</w:t>
      </w:r>
      <w:r>
        <w:rPr>
          <w:spacing w:val="-12"/>
          <w:sz w:val="20"/>
        </w:rPr>
        <w:t> </w:t>
      </w:r>
      <w:r>
        <w:rPr>
          <w:sz w:val="20"/>
        </w:rPr>
        <w:t>license</w:t>
      </w:r>
      <w:r>
        <w:rPr>
          <w:spacing w:val="-11"/>
          <w:sz w:val="20"/>
        </w:rPr>
        <w:t> </w:t>
      </w:r>
      <w:r>
        <w:rPr>
          <w:sz w:val="20"/>
        </w:rPr>
        <w:t>fees,</w:t>
      </w:r>
      <w:r>
        <w:rPr>
          <w:spacing w:val="-13"/>
          <w:sz w:val="20"/>
        </w:rPr>
        <w:t> </w:t>
      </w:r>
      <w:r>
        <w:rPr>
          <w:sz w:val="20"/>
        </w:rPr>
        <w:t>and</w:t>
      </w:r>
      <w:r>
        <w:rPr>
          <w:spacing w:val="-11"/>
          <w:sz w:val="20"/>
        </w:rPr>
        <w:t> </w:t>
      </w:r>
      <w:r>
        <w:rPr>
          <w:sz w:val="20"/>
        </w:rPr>
        <w:t>a</w:t>
      </w:r>
      <w:r>
        <w:rPr>
          <w:spacing w:val="-12"/>
          <w:sz w:val="20"/>
        </w:rPr>
        <w:t> </w:t>
      </w:r>
      <w:r>
        <w:rPr>
          <w:sz w:val="20"/>
        </w:rPr>
        <w:t>minimum</w:t>
      </w:r>
      <w:r>
        <w:rPr>
          <w:spacing w:val="-13"/>
          <w:sz w:val="20"/>
        </w:rPr>
        <w:t> </w:t>
      </w:r>
      <w:r>
        <w:rPr>
          <w:sz w:val="20"/>
        </w:rPr>
        <w:t>of</w:t>
      </w:r>
      <w:r>
        <w:rPr>
          <w:spacing w:val="-12"/>
          <w:sz w:val="20"/>
        </w:rPr>
        <w:t> </w:t>
      </w:r>
      <w:r>
        <w:rPr>
          <w:sz w:val="20"/>
        </w:rPr>
        <w:t>$350,000</w:t>
      </w:r>
      <w:r>
        <w:rPr>
          <w:spacing w:val="-12"/>
          <w:sz w:val="20"/>
        </w:rPr>
        <w:t> </w:t>
      </w:r>
      <w:r>
        <w:rPr>
          <w:sz w:val="20"/>
        </w:rPr>
        <w:t>in</w:t>
      </w:r>
      <w:r>
        <w:rPr>
          <w:spacing w:val="-12"/>
          <w:sz w:val="20"/>
        </w:rPr>
        <w:t> </w:t>
      </w:r>
      <w:r>
        <w:rPr>
          <w:sz w:val="20"/>
        </w:rPr>
        <w:t>expenditures on the Potash Project required by the TSX Rules to maintain KRN’s listing on the</w:t>
      </w:r>
      <w:r>
        <w:rPr>
          <w:spacing w:val="-24"/>
          <w:sz w:val="20"/>
        </w:rPr>
        <w:t> </w:t>
      </w:r>
      <w:r>
        <w:rPr>
          <w:sz w:val="20"/>
        </w:rPr>
        <w:t>TSX.</w:t>
      </w:r>
    </w:p>
    <w:p>
      <w:pPr>
        <w:pStyle w:val="BodyText"/>
        <w:rPr>
          <w:sz w:val="21"/>
        </w:rPr>
      </w:pPr>
    </w:p>
    <w:p>
      <w:pPr>
        <w:pStyle w:val="ListParagraph"/>
        <w:numPr>
          <w:ilvl w:val="0"/>
          <w:numId w:val="1"/>
        </w:numPr>
        <w:tabs>
          <w:tab w:pos="841" w:val="left" w:leader="none"/>
        </w:tabs>
        <w:spacing w:line="360" w:lineRule="auto" w:before="0" w:after="0"/>
        <w:ind w:left="839" w:right="1157" w:hanging="720"/>
        <w:jc w:val="both"/>
        <w:rPr>
          <w:sz w:val="20"/>
        </w:rPr>
      </w:pPr>
      <w:r>
        <w:rPr>
          <w:sz w:val="20"/>
        </w:rPr>
        <w:t>I determined the use of proceeds for the Rights Offering. The intent and purpose of the Rights Offering was to provide funding for the Nitrogen Project, so as not to have to use the existing $9 million in cash. The purpose of the Rights Offering was not to provide additional funds for the Potash Project, or general and administrative expenses. KRN had sufficient cash resources to fund its annual costs, and did not need the proceeds from the Rights Offering to fund such</w:t>
      </w:r>
      <w:r>
        <w:rPr>
          <w:spacing w:val="-37"/>
          <w:sz w:val="20"/>
        </w:rPr>
        <w:t> </w:t>
      </w:r>
      <w:r>
        <w:rPr>
          <w:sz w:val="20"/>
        </w:rPr>
        <w:t>costs.</w:t>
      </w:r>
    </w:p>
    <w:p>
      <w:pPr>
        <w:pStyle w:val="BodyText"/>
        <w:spacing w:before="10"/>
      </w:pPr>
    </w:p>
    <w:p>
      <w:pPr>
        <w:pStyle w:val="ListParagraph"/>
        <w:numPr>
          <w:ilvl w:val="0"/>
          <w:numId w:val="1"/>
        </w:numPr>
        <w:tabs>
          <w:tab w:pos="840" w:val="left" w:leader="none"/>
        </w:tabs>
        <w:spacing w:line="360" w:lineRule="auto" w:before="0" w:after="0"/>
        <w:ind w:left="839" w:right="1157" w:hanging="721"/>
        <w:jc w:val="both"/>
        <w:rPr>
          <w:color w:val="1C1C1C"/>
          <w:sz w:val="20"/>
        </w:rPr>
      </w:pPr>
      <w:r>
        <w:rPr>
          <w:color w:val="1C1C1C"/>
          <w:sz w:val="20"/>
        </w:rPr>
        <w:t>I</w:t>
      </w:r>
      <w:r>
        <w:rPr>
          <w:color w:val="1C1C1C"/>
          <w:spacing w:val="-13"/>
          <w:sz w:val="20"/>
        </w:rPr>
        <w:t> </w:t>
      </w:r>
      <w:r>
        <w:rPr>
          <w:color w:val="1C1C1C"/>
          <w:sz w:val="20"/>
        </w:rPr>
        <w:t>verily</w:t>
      </w:r>
      <w:r>
        <w:rPr>
          <w:color w:val="1C1C1C"/>
          <w:spacing w:val="-11"/>
          <w:sz w:val="20"/>
        </w:rPr>
        <w:t> </w:t>
      </w:r>
      <w:r>
        <w:rPr>
          <w:color w:val="1C1C1C"/>
          <w:sz w:val="20"/>
        </w:rPr>
        <w:t>believe</w:t>
      </w:r>
      <w:r>
        <w:rPr>
          <w:color w:val="1C1C1C"/>
          <w:spacing w:val="-11"/>
          <w:sz w:val="20"/>
        </w:rPr>
        <w:t> </w:t>
      </w:r>
      <w:r>
        <w:rPr>
          <w:color w:val="1C1C1C"/>
          <w:sz w:val="20"/>
        </w:rPr>
        <w:t>that</w:t>
      </w:r>
      <w:r>
        <w:rPr>
          <w:color w:val="1C1C1C"/>
          <w:spacing w:val="-13"/>
          <w:sz w:val="20"/>
        </w:rPr>
        <w:t> </w:t>
      </w:r>
      <w:r>
        <w:rPr>
          <w:color w:val="1C1C1C"/>
          <w:sz w:val="20"/>
        </w:rPr>
        <w:t>Varma,</w:t>
      </w:r>
      <w:r>
        <w:rPr>
          <w:color w:val="1C1C1C"/>
          <w:spacing w:val="-12"/>
          <w:sz w:val="20"/>
        </w:rPr>
        <w:t> </w:t>
      </w:r>
      <w:r>
        <w:rPr>
          <w:color w:val="1C1C1C"/>
          <w:sz w:val="20"/>
        </w:rPr>
        <w:t>Nanavaty</w:t>
      </w:r>
      <w:r>
        <w:rPr>
          <w:color w:val="1C1C1C"/>
          <w:spacing w:val="-11"/>
          <w:sz w:val="20"/>
        </w:rPr>
        <w:t> </w:t>
      </w:r>
      <w:r>
        <w:rPr>
          <w:color w:val="1C1C1C"/>
          <w:sz w:val="20"/>
        </w:rPr>
        <w:t>and</w:t>
      </w:r>
      <w:r>
        <w:rPr>
          <w:color w:val="1C1C1C"/>
          <w:spacing w:val="-13"/>
          <w:sz w:val="20"/>
        </w:rPr>
        <w:t> </w:t>
      </w:r>
      <w:r>
        <w:rPr>
          <w:color w:val="1C1C1C"/>
          <w:sz w:val="20"/>
        </w:rPr>
        <w:t>Favreau</w:t>
      </w:r>
      <w:r>
        <w:rPr>
          <w:color w:val="1C1C1C"/>
          <w:spacing w:val="-13"/>
          <w:sz w:val="20"/>
        </w:rPr>
        <w:t> </w:t>
      </w:r>
      <w:r>
        <w:rPr>
          <w:color w:val="1C1C1C"/>
          <w:sz w:val="20"/>
        </w:rPr>
        <w:t>know</w:t>
      </w:r>
      <w:r>
        <w:rPr>
          <w:color w:val="1C1C1C"/>
          <w:spacing w:val="-11"/>
          <w:sz w:val="20"/>
        </w:rPr>
        <w:t> </w:t>
      </w:r>
      <w:r>
        <w:rPr>
          <w:color w:val="1C1C1C"/>
          <w:sz w:val="20"/>
        </w:rPr>
        <w:t>the</w:t>
      </w:r>
      <w:r>
        <w:rPr>
          <w:color w:val="1C1C1C"/>
          <w:spacing w:val="-12"/>
          <w:sz w:val="20"/>
        </w:rPr>
        <w:t> </w:t>
      </w:r>
      <w:r>
        <w:rPr>
          <w:color w:val="1C1C1C"/>
          <w:sz w:val="20"/>
        </w:rPr>
        <w:t>facts,</w:t>
      </w:r>
      <w:r>
        <w:rPr>
          <w:color w:val="1C1C1C"/>
          <w:spacing w:val="-12"/>
          <w:sz w:val="20"/>
        </w:rPr>
        <w:t> </w:t>
      </w:r>
      <w:r>
        <w:rPr>
          <w:color w:val="1C1C1C"/>
          <w:sz w:val="20"/>
        </w:rPr>
        <w:t>and</w:t>
      </w:r>
      <w:r>
        <w:rPr>
          <w:color w:val="1C1C1C"/>
          <w:spacing w:val="-11"/>
          <w:sz w:val="20"/>
        </w:rPr>
        <w:t> </w:t>
      </w:r>
      <w:r>
        <w:rPr>
          <w:color w:val="1C1C1C"/>
          <w:sz w:val="20"/>
        </w:rPr>
        <w:t>Favreau</w:t>
      </w:r>
      <w:r>
        <w:rPr>
          <w:color w:val="1C1C1C"/>
          <w:spacing w:val="-13"/>
          <w:sz w:val="20"/>
        </w:rPr>
        <w:t> </w:t>
      </w:r>
      <w:r>
        <w:rPr>
          <w:color w:val="1C1C1C"/>
          <w:sz w:val="20"/>
        </w:rPr>
        <w:t>and</w:t>
      </w:r>
      <w:r>
        <w:rPr>
          <w:color w:val="1C1C1C"/>
          <w:spacing w:val="-11"/>
          <w:sz w:val="20"/>
        </w:rPr>
        <w:t> </w:t>
      </w:r>
      <w:r>
        <w:rPr>
          <w:color w:val="1C1C1C"/>
          <w:sz w:val="20"/>
        </w:rPr>
        <w:t>the</w:t>
      </w:r>
      <w:r>
        <w:rPr>
          <w:color w:val="1C1C1C"/>
          <w:spacing w:val="-11"/>
          <w:sz w:val="20"/>
        </w:rPr>
        <w:t> </w:t>
      </w:r>
      <w:r>
        <w:rPr>
          <w:color w:val="1C1C1C"/>
          <w:sz w:val="20"/>
        </w:rPr>
        <w:t>KRN</w:t>
      </w:r>
      <w:r>
        <w:rPr>
          <w:color w:val="1C1C1C"/>
          <w:spacing w:val="-12"/>
          <w:sz w:val="20"/>
        </w:rPr>
        <w:t> </w:t>
      </w:r>
      <w:r>
        <w:rPr>
          <w:color w:val="1C1C1C"/>
          <w:sz w:val="20"/>
        </w:rPr>
        <w:t>Board are intentionally lying and misrepresenting the facts, when they state that the use of proceeds of the Rights Offering were to pay for up to $1 million of the annual costs of the Potash Project, in priority to using such proceeds to investigate the Nitrogen Project. This is simply</w:t>
      </w:r>
      <w:r>
        <w:rPr>
          <w:color w:val="1C1C1C"/>
          <w:spacing w:val="-23"/>
          <w:sz w:val="20"/>
        </w:rPr>
        <w:t> </w:t>
      </w:r>
      <w:r>
        <w:rPr>
          <w:color w:val="1C1C1C"/>
          <w:sz w:val="20"/>
        </w:rPr>
        <w:t>false.</w:t>
      </w:r>
    </w:p>
    <w:p>
      <w:pPr>
        <w:pStyle w:val="ListParagraph"/>
        <w:numPr>
          <w:ilvl w:val="0"/>
          <w:numId w:val="1"/>
        </w:numPr>
        <w:tabs>
          <w:tab w:pos="840" w:val="left" w:leader="none"/>
        </w:tabs>
        <w:spacing w:line="360" w:lineRule="auto" w:before="160" w:after="0"/>
        <w:ind w:left="839" w:right="1156" w:hanging="720"/>
        <w:jc w:val="both"/>
        <w:rPr>
          <w:color w:val="1C1C1C"/>
          <w:sz w:val="20"/>
        </w:rPr>
      </w:pPr>
      <w:r>
        <w:rPr>
          <w:color w:val="1C1C1C"/>
          <w:sz w:val="20"/>
        </w:rPr>
        <w:t>In August 2019, in a Memorandum to the KRN Board, I specifically warned the KRN Board that, given it had been almost 9 months since the Rights Offering had closed, and the KRN Board had not authorized the expenditure of virtually any monies from the Rights Offering to be expended on the Nitrogen Project, there was a risk that KRN and the KRN Board could face legal action for misrepresentation.</w:t>
      </w:r>
    </w:p>
    <w:p>
      <w:pPr>
        <w:spacing w:before="159"/>
        <w:ind w:left="119" w:right="0" w:firstLine="0"/>
        <w:jc w:val="both"/>
        <w:rPr>
          <w:b/>
          <w:sz w:val="20"/>
        </w:rPr>
      </w:pPr>
      <w:r>
        <w:rPr>
          <w:b/>
          <w:color w:val="1C1C1C"/>
          <w:sz w:val="20"/>
        </w:rPr>
        <w:t>Favreau’s False Affidavit</w:t>
      </w:r>
    </w:p>
    <w:p>
      <w:pPr>
        <w:pStyle w:val="BodyText"/>
        <w:spacing w:before="10"/>
        <w:rPr>
          <w:b/>
          <w:sz w:val="23"/>
        </w:rPr>
      </w:pPr>
    </w:p>
    <w:p>
      <w:pPr>
        <w:pStyle w:val="ListParagraph"/>
        <w:numPr>
          <w:ilvl w:val="0"/>
          <w:numId w:val="1"/>
        </w:numPr>
        <w:tabs>
          <w:tab w:pos="840" w:val="left" w:leader="none"/>
        </w:tabs>
        <w:spacing w:line="360" w:lineRule="auto" w:before="0" w:after="0"/>
        <w:ind w:left="838" w:right="1157" w:hanging="720"/>
        <w:jc w:val="both"/>
        <w:rPr>
          <w:i/>
          <w:sz w:val="20"/>
        </w:rPr>
      </w:pPr>
      <w:r>
        <w:rPr>
          <w:sz w:val="20"/>
        </w:rPr>
        <w:t>I</w:t>
      </w:r>
      <w:r>
        <w:rPr>
          <w:spacing w:val="-6"/>
          <w:sz w:val="20"/>
        </w:rPr>
        <w:t> </w:t>
      </w:r>
      <w:r>
        <w:rPr>
          <w:sz w:val="20"/>
        </w:rPr>
        <w:t>have</w:t>
      </w:r>
      <w:r>
        <w:rPr>
          <w:spacing w:val="-5"/>
          <w:sz w:val="20"/>
        </w:rPr>
        <w:t> </w:t>
      </w:r>
      <w:r>
        <w:rPr>
          <w:sz w:val="20"/>
        </w:rPr>
        <w:t>reviewed</w:t>
      </w:r>
      <w:r>
        <w:rPr>
          <w:spacing w:val="-5"/>
          <w:sz w:val="20"/>
        </w:rPr>
        <w:t> </w:t>
      </w:r>
      <w:r>
        <w:rPr>
          <w:sz w:val="20"/>
        </w:rPr>
        <w:t>the</w:t>
      </w:r>
      <w:r>
        <w:rPr>
          <w:spacing w:val="-4"/>
          <w:sz w:val="20"/>
        </w:rPr>
        <w:t> </w:t>
      </w:r>
      <w:r>
        <w:rPr>
          <w:sz w:val="20"/>
        </w:rPr>
        <w:t>affidavit</w:t>
      </w:r>
      <w:r>
        <w:rPr>
          <w:spacing w:val="-6"/>
          <w:sz w:val="20"/>
        </w:rPr>
        <w:t> </w:t>
      </w:r>
      <w:r>
        <w:rPr>
          <w:sz w:val="20"/>
        </w:rPr>
        <w:t>of</w:t>
      </w:r>
      <w:r>
        <w:rPr>
          <w:spacing w:val="-5"/>
          <w:sz w:val="20"/>
        </w:rPr>
        <w:t> </w:t>
      </w:r>
      <w:r>
        <w:rPr>
          <w:sz w:val="20"/>
        </w:rPr>
        <w:t>Favreau</w:t>
      </w:r>
      <w:r>
        <w:rPr>
          <w:spacing w:val="-5"/>
          <w:sz w:val="20"/>
        </w:rPr>
        <w:t> </w:t>
      </w:r>
      <w:r>
        <w:rPr>
          <w:sz w:val="20"/>
        </w:rPr>
        <w:t>sworn</w:t>
      </w:r>
      <w:r>
        <w:rPr>
          <w:spacing w:val="-6"/>
          <w:sz w:val="20"/>
        </w:rPr>
        <w:t> </w:t>
      </w:r>
      <w:r>
        <w:rPr>
          <w:sz w:val="20"/>
        </w:rPr>
        <w:t>on</w:t>
      </w:r>
      <w:r>
        <w:rPr>
          <w:spacing w:val="-4"/>
          <w:sz w:val="20"/>
        </w:rPr>
        <w:t> </w:t>
      </w:r>
      <w:r>
        <w:rPr>
          <w:sz w:val="20"/>
        </w:rPr>
        <w:t>October</w:t>
      </w:r>
      <w:r>
        <w:rPr>
          <w:spacing w:val="-6"/>
          <w:sz w:val="20"/>
        </w:rPr>
        <w:t> </w:t>
      </w:r>
      <w:r>
        <w:rPr>
          <w:sz w:val="20"/>
        </w:rPr>
        <w:t>26,</w:t>
      </w:r>
      <w:r>
        <w:rPr>
          <w:spacing w:val="-5"/>
          <w:sz w:val="20"/>
        </w:rPr>
        <w:t> </w:t>
      </w:r>
      <w:r>
        <w:rPr>
          <w:sz w:val="20"/>
        </w:rPr>
        <w:t>2020</w:t>
      </w:r>
      <w:r>
        <w:rPr>
          <w:spacing w:val="-4"/>
          <w:sz w:val="20"/>
        </w:rPr>
        <w:t> </w:t>
      </w:r>
      <w:r>
        <w:rPr>
          <w:sz w:val="20"/>
        </w:rPr>
        <w:t>(the</w:t>
      </w:r>
      <w:r>
        <w:rPr>
          <w:spacing w:val="-6"/>
          <w:sz w:val="20"/>
        </w:rPr>
        <w:t> </w:t>
      </w:r>
      <w:r>
        <w:rPr>
          <w:sz w:val="20"/>
        </w:rPr>
        <w:t>“</w:t>
      </w:r>
      <w:r>
        <w:rPr>
          <w:b/>
          <w:sz w:val="20"/>
        </w:rPr>
        <w:t>Favreau</w:t>
      </w:r>
      <w:r>
        <w:rPr>
          <w:b/>
          <w:spacing w:val="-4"/>
          <w:sz w:val="20"/>
        </w:rPr>
        <w:t> </w:t>
      </w:r>
      <w:r>
        <w:rPr>
          <w:b/>
          <w:sz w:val="20"/>
        </w:rPr>
        <w:t>Affidavit</w:t>
      </w:r>
      <w:r>
        <w:rPr>
          <w:sz w:val="20"/>
        </w:rPr>
        <w:t>”),</w:t>
      </w:r>
      <w:r>
        <w:rPr>
          <w:spacing w:val="-6"/>
          <w:sz w:val="20"/>
        </w:rPr>
        <w:t> </w:t>
      </w:r>
      <w:r>
        <w:rPr>
          <w:sz w:val="20"/>
        </w:rPr>
        <w:t>and in particular, I have reviewed paragrahp 3 of the Favreau Affidavit which states [emphasis added]: “</w:t>
      </w:r>
      <w:r>
        <w:rPr>
          <w:i/>
          <w:sz w:val="20"/>
        </w:rPr>
        <w:t>On the expiration of his fixed-term employment, Karnalyte and the Applicant </w:t>
      </w:r>
      <w:r>
        <w:rPr>
          <w:b/>
          <w:i/>
          <w:sz w:val="20"/>
        </w:rPr>
        <w:t>negotiated </w:t>
      </w:r>
      <w:r>
        <w:rPr>
          <w:b/>
          <w:i/>
          <w:sz w:val="20"/>
        </w:rPr>
        <w:t>continuously </w:t>
      </w:r>
      <w:r>
        <w:rPr>
          <w:i/>
          <w:sz w:val="20"/>
        </w:rPr>
        <w:t>between Fabreuary 2019 and April 2019 to reduce to writing the terms under</w:t>
      </w:r>
      <w:r>
        <w:rPr>
          <w:i/>
          <w:spacing w:val="-32"/>
          <w:sz w:val="20"/>
        </w:rPr>
        <w:t> </w:t>
      </w:r>
      <w:r>
        <w:rPr>
          <w:i/>
          <w:sz w:val="20"/>
        </w:rPr>
        <w:t>which</w:t>
      </w:r>
    </w:p>
    <w:p>
      <w:pPr>
        <w:spacing w:after="0" w:line="360" w:lineRule="auto"/>
        <w:jc w:val="both"/>
        <w:rPr>
          <w:sz w:val="20"/>
        </w:rPr>
        <w:sectPr>
          <w:pgSz w:w="12240" w:h="15840"/>
          <w:pgMar w:header="0" w:footer="1259" w:top="1220" w:bottom="1440" w:left="1320" w:right="280"/>
        </w:sectPr>
      </w:pPr>
    </w:p>
    <w:p>
      <w:pPr>
        <w:spacing w:line="360" w:lineRule="auto" w:before="75"/>
        <w:ind w:left="839" w:right="1157" w:firstLine="0"/>
        <w:jc w:val="both"/>
        <w:rPr>
          <w:sz w:val="20"/>
        </w:rPr>
      </w:pPr>
      <w:r>
        <w:rPr/>
        <w:drawing>
          <wp:anchor distT="0" distB="0" distL="0" distR="0" allowOverlap="1" layoutInCell="1" locked="0" behindDoc="0" simplePos="0" relativeHeight="251696128">
            <wp:simplePos x="0" y="0"/>
            <wp:positionH relativeFrom="page">
              <wp:posOffset>6909701</wp:posOffset>
            </wp:positionH>
            <wp:positionV relativeFrom="page">
              <wp:posOffset>9364431</wp:posOffset>
            </wp:positionV>
            <wp:extent cx="547560" cy="555707"/>
            <wp:effectExtent l="0" t="0" r="0" b="0"/>
            <wp:wrapNone/>
            <wp:docPr id="61" name="image4.png"/>
            <wp:cNvGraphicFramePr>
              <a:graphicFrameLocks noChangeAspect="1"/>
            </wp:cNvGraphicFramePr>
            <a:graphic>
              <a:graphicData uri="http://schemas.openxmlformats.org/drawingml/2006/picture">
                <pic:pic>
                  <pic:nvPicPr>
                    <pic:cNvPr id="62" name="image4.png"/>
                    <pic:cNvPicPr/>
                  </pic:nvPicPr>
                  <pic:blipFill>
                    <a:blip r:embed="rId9" cstate="print"/>
                    <a:stretch>
                      <a:fillRect/>
                    </a:stretch>
                  </pic:blipFill>
                  <pic:spPr>
                    <a:xfrm>
                      <a:off x="0" y="0"/>
                      <a:ext cx="547560" cy="555707"/>
                    </a:xfrm>
                    <a:prstGeom prst="rect">
                      <a:avLst/>
                    </a:prstGeom>
                  </pic:spPr>
                </pic:pic>
              </a:graphicData>
            </a:graphic>
          </wp:anchor>
        </w:drawing>
      </w:r>
      <w:r>
        <w:rPr/>
        <w:drawing>
          <wp:anchor distT="0" distB="0" distL="0" distR="0" allowOverlap="1" layoutInCell="1" locked="0" behindDoc="0" simplePos="0" relativeHeight="251697152">
            <wp:simplePos x="0" y="0"/>
            <wp:positionH relativeFrom="page">
              <wp:posOffset>5777153</wp:posOffset>
            </wp:positionH>
            <wp:positionV relativeFrom="page">
              <wp:posOffset>9304351</wp:posOffset>
            </wp:positionV>
            <wp:extent cx="876722" cy="555707"/>
            <wp:effectExtent l="0" t="0" r="0" b="0"/>
            <wp:wrapNone/>
            <wp:docPr id="63" name="image5.png"/>
            <wp:cNvGraphicFramePr>
              <a:graphicFrameLocks noChangeAspect="1"/>
            </wp:cNvGraphicFramePr>
            <a:graphic>
              <a:graphicData uri="http://schemas.openxmlformats.org/drawingml/2006/picture">
                <pic:pic>
                  <pic:nvPicPr>
                    <pic:cNvPr id="64" name="image5.png"/>
                    <pic:cNvPicPr/>
                  </pic:nvPicPr>
                  <pic:blipFill>
                    <a:blip r:embed="rId10" cstate="print"/>
                    <a:stretch>
                      <a:fillRect/>
                    </a:stretch>
                  </pic:blipFill>
                  <pic:spPr>
                    <a:xfrm>
                      <a:off x="0" y="0"/>
                      <a:ext cx="876722" cy="555707"/>
                    </a:xfrm>
                    <a:prstGeom prst="rect">
                      <a:avLst/>
                    </a:prstGeom>
                  </pic:spPr>
                </pic:pic>
              </a:graphicData>
            </a:graphic>
          </wp:anchor>
        </w:drawing>
      </w:r>
      <w:r>
        <w:rPr>
          <w:i/>
          <w:sz w:val="20"/>
        </w:rPr>
        <w:t>Mr. Wheatley would be appointed to the position of Chief Executive Officer (“CEO”). </w:t>
      </w:r>
      <w:r>
        <w:rPr>
          <w:sz w:val="20"/>
        </w:rPr>
        <w:t>Attached and marked as </w:t>
      </w:r>
      <w:r>
        <w:rPr>
          <w:b/>
          <w:sz w:val="20"/>
        </w:rPr>
        <w:t>Exhibit “BBB” </w:t>
      </w:r>
      <w:r>
        <w:rPr>
          <w:sz w:val="20"/>
        </w:rPr>
        <w:t>to the FDW Affidavit is a copy of Favreau’s affidavit dated October 26, 2020.</w:t>
      </w:r>
    </w:p>
    <w:p>
      <w:pPr>
        <w:pStyle w:val="ListParagraph"/>
        <w:numPr>
          <w:ilvl w:val="0"/>
          <w:numId w:val="1"/>
        </w:numPr>
        <w:tabs>
          <w:tab w:pos="840" w:val="left" w:leader="none"/>
        </w:tabs>
        <w:spacing w:line="240" w:lineRule="auto" w:before="160" w:after="0"/>
        <w:ind w:left="840" w:right="0" w:hanging="721"/>
        <w:jc w:val="both"/>
        <w:rPr>
          <w:sz w:val="20"/>
        </w:rPr>
      </w:pPr>
      <w:r>
        <w:rPr>
          <w:sz w:val="20"/>
        </w:rPr>
        <w:t>I verily believe that paragrah 3 of the Favreau Affidavot is</w:t>
      </w:r>
      <w:r>
        <w:rPr>
          <w:spacing w:val="-12"/>
          <w:sz w:val="20"/>
        </w:rPr>
        <w:t> </w:t>
      </w:r>
      <w:r>
        <w:rPr>
          <w:sz w:val="20"/>
        </w:rPr>
        <w:t>false.</w:t>
      </w:r>
    </w:p>
    <w:p>
      <w:pPr>
        <w:pStyle w:val="BodyText"/>
        <w:spacing w:before="9"/>
        <w:rPr>
          <w:sz w:val="23"/>
        </w:rPr>
      </w:pPr>
    </w:p>
    <w:p>
      <w:pPr>
        <w:pStyle w:val="ListParagraph"/>
        <w:numPr>
          <w:ilvl w:val="0"/>
          <w:numId w:val="1"/>
        </w:numPr>
        <w:tabs>
          <w:tab w:pos="840" w:val="left" w:leader="none"/>
        </w:tabs>
        <w:spacing w:line="360" w:lineRule="auto" w:before="0" w:after="0"/>
        <w:ind w:left="839" w:right="1157" w:hanging="720"/>
        <w:jc w:val="both"/>
        <w:rPr>
          <w:sz w:val="20"/>
        </w:rPr>
      </w:pPr>
      <w:r>
        <w:rPr>
          <w:sz w:val="20"/>
        </w:rPr>
        <w:t>As</w:t>
      </w:r>
      <w:r>
        <w:rPr>
          <w:spacing w:val="-12"/>
          <w:sz w:val="20"/>
        </w:rPr>
        <w:t> </w:t>
      </w:r>
      <w:r>
        <w:rPr>
          <w:sz w:val="20"/>
        </w:rPr>
        <w:t>stated</w:t>
      </w:r>
      <w:r>
        <w:rPr>
          <w:spacing w:val="-11"/>
          <w:sz w:val="20"/>
        </w:rPr>
        <w:t> </w:t>
      </w:r>
      <w:r>
        <w:rPr>
          <w:sz w:val="20"/>
        </w:rPr>
        <w:t>in</w:t>
      </w:r>
      <w:r>
        <w:rPr>
          <w:spacing w:val="-11"/>
          <w:sz w:val="20"/>
        </w:rPr>
        <w:t> </w:t>
      </w:r>
      <w:r>
        <w:rPr>
          <w:sz w:val="20"/>
        </w:rPr>
        <w:t>paragraphs</w:t>
      </w:r>
      <w:r>
        <w:rPr>
          <w:spacing w:val="-12"/>
          <w:sz w:val="20"/>
        </w:rPr>
        <w:t> </w:t>
      </w:r>
      <w:r>
        <w:rPr>
          <w:sz w:val="20"/>
        </w:rPr>
        <w:t>102</w:t>
      </w:r>
      <w:r>
        <w:rPr>
          <w:spacing w:val="-11"/>
          <w:sz w:val="20"/>
        </w:rPr>
        <w:t> </w:t>
      </w:r>
      <w:r>
        <w:rPr>
          <w:sz w:val="20"/>
        </w:rPr>
        <w:t>to</w:t>
      </w:r>
      <w:r>
        <w:rPr>
          <w:spacing w:val="-11"/>
          <w:sz w:val="20"/>
        </w:rPr>
        <w:t> </w:t>
      </w:r>
      <w:r>
        <w:rPr>
          <w:sz w:val="20"/>
        </w:rPr>
        <w:t>105</w:t>
      </w:r>
      <w:r>
        <w:rPr>
          <w:spacing w:val="-11"/>
          <w:sz w:val="20"/>
        </w:rPr>
        <w:t> </w:t>
      </w:r>
      <w:r>
        <w:rPr>
          <w:sz w:val="20"/>
        </w:rPr>
        <w:t>above,</w:t>
      </w:r>
      <w:r>
        <w:rPr>
          <w:spacing w:val="-13"/>
          <w:sz w:val="20"/>
        </w:rPr>
        <w:t> </w:t>
      </w:r>
      <w:r>
        <w:rPr>
          <w:sz w:val="20"/>
        </w:rPr>
        <w:t>all</w:t>
      </w:r>
      <w:r>
        <w:rPr>
          <w:spacing w:val="-12"/>
          <w:sz w:val="20"/>
        </w:rPr>
        <w:t> </w:t>
      </w:r>
      <w:r>
        <w:rPr>
          <w:sz w:val="20"/>
        </w:rPr>
        <w:t>material</w:t>
      </w:r>
      <w:r>
        <w:rPr>
          <w:spacing w:val="-13"/>
          <w:sz w:val="20"/>
        </w:rPr>
        <w:t> </w:t>
      </w:r>
      <w:r>
        <w:rPr>
          <w:sz w:val="20"/>
        </w:rPr>
        <w:t>terms</w:t>
      </w:r>
      <w:r>
        <w:rPr>
          <w:spacing w:val="-11"/>
          <w:sz w:val="20"/>
        </w:rPr>
        <w:t> </w:t>
      </w:r>
      <w:r>
        <w:rPr>
          <w:sz w:val="20"/>
        </w:rPr>
        <w:t>and</w:t>
      </w:r>
      <w:r>
        <w:rPr>
          <w:spacing w:val="-13"/>
          <w:sz w:val="20"/>
        </w:rPr>
        <w:t> </w:t>
      </w:r>
      <w:r>
        <w:rPr>
          <w:sz w:val="20"/>
        </w:rPr>
        <w:t>conditions</w:t>
      </w:r>
      <w:r>
        <w:rPr>
          <w:spacing w:val="-11"/>
          <w:sz w:val="20"/>
        </w:rPr>
        <w:t> </w:t>
      </w:r>
      <w:r>
        <w:rPr>
          <w:sz w:val="20"/>
        </w:rPr>
        <w:t>of</w:t>
      </w:r>
      <w:r>
        <w:rPr>
          <w:spacing w:val="-12"/>
          <w:sz w:val="20"/>
        </w:rPr>
        <w:t> </w:t>
      </w:r>
      <w:r>
        <w:rPr>
          <w:sz w:val="20"/>
        </w:rPr>
        <w:t>the</w:t>
      </w:r>
      <w:r>
        <w:rPr>
          <w:spacing w:val="-11"/>
          <w:sz w:val="20"/>
        </w:rPr>
        <w:t> </w:t>
      </w:r>
      <w:r>
        <w:rPr>
          <w:sz w:val="20"/>
        </w:rPr>
        <w:t>CEO</w:t>
      </w:r>
      <w:r>
        <w:rPr>
          <w:spacing w:val="-12"/>
          <w:sz w:val="20"/>
        </w:rPr>
        <w:t> </w:t>
      </w:r>
      <w:r>
        <w:rPr>
          <w:sz w:val="20"/>
        </w:rPr>
        <w:t>Offer</w:t>
      </w:r>
      <w:r>
        <w:rPr>
          <w:spacing w:val="-11"/>
          <w:sz w:val="20"/>
        </w:rPr>
        <w:t> </w:t>
      </w:r>
      <w:r>
        <w:rPr>
          <w:sz w:val="20"/>
        </w:rPr>
        <w:t>Letter were agreed, and there were no material terms and conditons that were left to be</w:t>
      </w:r>
      <w:r>
        <w:rPr>
          <w:spacing w:val="-27"/>
          <w:sz w:val="20"/>
        </w:rPr>
        <w:t> </w:t>
      </w:r>
      <w:r>
        <w:rPr>
          <w:sz w:val="20"/>
        </w:rPr>
        <w:t>negotiated.</w:t>
      </w:r>
    </w:p>
    <w:p>
      <w:pPr>
        <w:pStyle w:val="ListParagraph"/>
        <w:numPr>
          <w:ilvl w:val="0"/>
          <w:numId w:val="1"/>
        </w:numPr>
        <w:tabs>
          <w:tab w:pos="840" w:val="left" w:leader="none"/>
        </w:tabs>
        <w:spacing w:line="240" w:lineRule="auto" w:before="160" w:after="0"/>
        <w:ind w:left="839" w:right="0" w:hanging="721"/>
        <w:jc w:val="both"/>
        <w:rPr>
          <w:sz w:val="20"/>
        </w:rPr>
      </w:pPr>
      <w:r>
        <w:rPr>
          <w:sz w:val="20"/>
        </w:rPr>
        <w:t>I verily believe that,</w:t>
      </w:r>
      <w:r>
        <w:rPr>
          <w:spacing w:val="-6"/>
          <w:sz w:val="20"/>
        </w:rPr>
        <w:t> </w:t>
      </w:r>
      <w:r>
        <w:rPr>
          <w:sz w:val="20"/>
        </w:rPr>
        <w:t>notwithstanding:</w:t>
      </w:r>
    </w:p>
    <w:p>
      <w:pPr>
        <w:pStyle w:val="BodyText"/>
        <w:spacing w:before="9"/>
        <w:rPr>
          <w:sz w:val="23"/>
        </w:rPr>
      </w:pPr>
    </w:p>
    <w:p>
      <w:pPr>
        <w:pStyle w:val="ListParagraph"/>
        <w:numPr>
          <w:ilvl w:val="1"/>
          <w:numId w:val="1"/>
        </w:numPr>
        <w:tabs>
          <w:tab w:pos="1559" w:val="left" w:leader="none"/>
          <w:tab w:pos="1560" w:val="left" w:leader="none"/>
        </w:tabs>
        <w:spacing w:line="240" w:lineRule="auto" w:before="0" w:after="0"/>
        <w:ind w:left="1559" w:right="0" w:hanging="721"/>
        <w:jc w:val="both"/>
        <w:rPr>
          <w:rFonts w:ascii="Symbol" w:hAnsi="Symbol"/>
          <w:sz w:val="20"/>
        </w:rPr>
      </w:pPr>
      <w:r>
        <w:rPr>
          <w:sz w:val="20"/>
        </w:rPr>
        <w:t>Favreau took two (2) months to prepare the CEO Offer Letter;</w:t>
      </w:r>
      <w:r>
        <w:rPr>
          <w:spacing w:val="-12"/>
          <w:sz w:val="20"/>
        </w:rPr>
        <w:t> </w:t>
      </w:r>
      <w:r>
        <w:rPr>
          <w:sz w:val="20"/>
        </w:rPr>
        <w:t>and</w:t>
      </w:r>
    </w:p>
    <w:p>
      <w:pPr>
        <w:pStyle w:val="BodyText"/>
        <w:spacing w:before="8"/>
        <w:rPr>
          <w:sz w:val="23"/>
        </w:rPr>
      </w:pPr>
    </w:p>
    <w:p>
      <w:pPr>
        <w:pStyle w:val="ListParagraph"/>
        <w:numPr>
          <w:ilvl w:val="1"/>
          <w:numId w:val="1"/>
        </w:numPr>
        <w:tabs>
          <w:tab w:pos="1559" w:val="left" w:leader="none"/>
          <w:tab w:pos="1561" w:val="left" w:leader="none"/>
        </w:tabs>
        <w:spacing w:line="240" w:lineRule="auto" w:before="0" w:after="0"/>
        <w:ind w:left="1560" w:right="0" w:hanging="721"/>
        <w:jc w:val="both"/>
        <w:rPr>
          <w:rFonts w:ascii="Symbol" w:hAnsi="Symbol"/>
          <w:sz w:val="20"/>
        </w:rPr>
      </w:pPr>
      <w:r>
        <w:rPr>
          <w:sz w:val="20"/>
        </w:rPr>
        <w:t>Varma decided in April to change his mind as to what he agreed to in</w:t>
      </w:r>
      <w:r>
        <w:rPr>
          <w:spacing w:val="-19"/>
          <w:sz w:val="20"/>
        </w:rPr>
        <w:t> </w:t>
      </w:r>
      <w:r>
        <w:rPr>
          <w:sz w:val="20"/>
        </w:rPr>
        <w:t>February;</w:t>
      </w:r>
    </w:p>
    <w:p>
      <w:pPr>
        <w:pStyle w:val="BodyText"/>
        <w:spacing w:before="8"/>
        <w:rPr>
          <w:sz w:val="23"/>
        </w:rPr>
      </w:pPr>
    </w:p>
    <w:p>
      <w:pPr>
        <w:pStyle w:val="BodyText"/>
        <w:ind w:left="840"/>
        <w:jc w:val="both"/>
      </w:pPr>
      <w:r>
        <w:rPr/>
        <w:t>it does not change the fact that all material terms and conditons were agreed on February 15, 2019.</w:t>
      </w:r>
    </w:p>
    <w:p>
      <w:pPr>
        <w:pStyle w:val="BodyText"/>
        <w:spacing w:before="9"/>
        <w:rPr>
          <w:sz w:val="23"/>
        </w:rPr>
      </w:pPr>
    </w:p>
    <w:p>
      <w:pPr>
        <w:pStyle w:val="ListParagraph"/>
        <w:numPr>
          <w:ilvl w:val="0"/>
          <w:numId w:val="1"/>
        </w:numPr>
        <w:tabs>
          <w:tab w:pos="840" w:val="left" w:leader="none"/>
        </w:tabs>
        <w:spacing w:line="360" w:lineRule="auto" w:before="0" w:after="0"/>
        <w:ind w:left="840" w:right="1156" w:hanging="721"/>
        <w:jc w:val="both"/>
        <w:rPr>
          <w:sz w:val="20"/>
        </w:rPr>
      </w:pPr>
      <w:r>
        <w:rPr>
          <w:sz w:val="20"/>
        </w:rPr>
        <w:t>I verily believe that Favreau knows that all material terms and conditions of the CEO Offer Letter were agreed on February 15, 2019, and that it is a shameless lie of Favreau to suggest I was “</w:t>
      </w:r>
      <w:r>
        <w:rPr>
          <w:i/>
          <w:sz w:val="20"/>
        </w:rPr>
        <w:t>continuously negoitiating</w:t>
      </w:r>
      <w:r>
        <w:rPr>
          <w:sz w:val="20"/>
        </w:rPr>
        <w:t>” and it is a shameless attempt to cover up her negligence and/or incompetence.</w:t>
      </w:r>
    </w:p>
    <w:p>
      <w:pPr>
        <w:pStyle w:val="ListParagraph"/>
        <w:numPr>
          <w:ilvl w:val="0"/>
          <w:numId w:val="1"/>
        </w:numPr>
        <w:tabs>
          <w:tab w:pos="840" w:val="left" w:leader="none"/>
        </w:tabs>
        <w:spacing w:line="360" w:lineRule="auto" w:before="160" w:after="0"/>
        <w:ind w:left="839" w:right="1157" w:hanging="720"/>
        <w:jc w:val="both"/>
        <w:rPr>
          <w:sz w:val="20"/>
        </w:rPr>
      </w:pPr>
      <w:r>
        <w:rPr>
          <w:sz w:val="20"/>
        </w:rPr>
        <w:t>I verily believe that, while the words of paragraph 4 of the Favreau Affidavit are true, Favreau’s omission of relevant facts from paragrah 4 gives a false impression of the true</w:t>
      </w:r>
      <w:r>
        <w:rPr>
          <w:spacing w:val="-24"/>
          <w:sz w:val="20"/>
        </w:rPr>
        <w:t> </w:t>
      </w:r>
      <w:r>
        <w:rPr>
          <w:sz w:val="20"/>
        </w:rPr>
        <w:t>story.</w:t>
      </w:r>
    </w:p>
    <w:p>
      <w:pPr>
        <w:pStyle w:val="ListParagraph"/>
        <w:numPr>
          <w:ilvl w:val="0"/>
          <w:numId w:val="1"/>
        </w:numPr>
        <w:tabs>
          <w:tab w:pos="840" w:val="left" w:leader="none"/>
        </w:tabs>
        <w:spacing w:line="360" w:lineRule="auto" w:before="159" w:after="0"/>
        <w:ind w:left="839" w:right="1159" w:hanging="721"/>
        <w:jc w:val="both"/>
        <w:rPr>
          <w:i/>
          <w:sz w:val="20"/>
        </w:rPr>
      </w:pPr>
      <w:r>
        <w:rPr>
          <w:sz w:val="20"/>
        </w:rPr>
        <w:t>Paragraph 4 of the Favreau Affidavit states: “</w:t>
      </w:r>
      <w:r>
        <w:rPr>
          <w:i/>
          <w:sz w:val="20"/>
        </w:rPr>
        <w:t>On or about Septebmer 11, 2019, before a written </w:t>
      </w:r>
      <w:r>
        <w:rPr>
          <w:i/>
          <w:sz w:val="20"/>
        </w:rPr>
        <w:t>employment agreement could be formally executed, Karnalyte termiated the employment of the Applicant, without cause, with statutory pay in lieu of</w:t>
      </w:r>
      <w:r>
        <w:rPr>
          <w:i/>
          <w:spacing w:val="-13"/>
          <w:sz w:val="20"/>
        </w:rPr>
        <w:t> </w:t>
      </w:r>
      <w:r>
        <w:rPr>
          <w:i/>
          <w:sz w:val="20"/>
        </w:rPr>
        <w:t>notice.”</w:t>
      </w:r>
    </w:p>
    <w:p>
      <w:pPr>
        <w:pStyle w:val="ListParagraph"/>
        <w:numPr>
          <w:ilvl w:val="0"/>
          <w:numId w:val="1"/>
        </w:numPr>
        <w:tabs>
          <w:tab w:pos="840" w:val="left" w:leader="none"/>
        </w:tabs>
        <w:spacing w:line="360" w:lineRule="auto" w:before="159" w:after="0"/>
        <w:ind w:left="839" w:right="1158" w:hanging="720"/>
        <w:jc w:val="both"/>
        <w:rPr>
          <w:sz w:val="20"/>
        </w:rPr>
      </w:pPr>
      <w:r>
        <w:rPr>
          <w:sz w:val="20"/>
        </w:rPr>
        <w:t>The relevants facts that Favreau intentionally omits from paragraph 4 of the Favreau Affidavit are, that did Favreau did not prepare and present a first draft of an employment agreement to me until the first week of September 2019, almost five (5) months after the CEO Offer Letter was signed in April 2019, and only a few days before I was</w:t>
      </w:r>
      <w:r>
        <w:rPr>
          <w:spacing w:val="-11"/>
          <w:sz w:val="20"/>
        </w:rPr>
        <w:t> </w:t>
      </w:r>
      <w:r>
        <w:rPr>
          <w:sz w:val="20"/>
        </w:rPr>
        <w:t>terminated.</w:t>
      </w:r>
    </w:p>
    <w:p>
      <w:pPr>
        <w:pStyle w:val="ListParagraph"/>
        <w:numPr>
          <w:ilvl w:val="0"/>
          <w:numId w:val="1"/>
        </w:numPr>
        <w:tabs>
          <w:tab w:pos="839" w:val="left" w:leader="none"/>
        </w:tabs>
        <w:spacing w:line="360" w:lineRule="auto" w:before="159" w:after="0"/>
        <w:ind w:left="838" w:right="1158" w:hanging="721"/>
        <w:jc w:val="both"/>
        <w:rPr>
          <w:sz w:val="20"/>
        </w:rPr>
      </w:pPr>
      <w:r>
        <w:rPr>
          <w:sz w:val="20"/>
        </w:rPr>
        <w:t>I verily believe that Favreau was either negligent, incompetent, or under instructions from Varma, to slow walk both the CEO Offer Letter, and the draft employment</w:t>
      </w:r>
      <w:r>
        <w:rPr>
          <w:spacing w:val="-17"/>
          <w:sz w:val="20"/>
        </w:rPr>
        <w:t> </w:t>
      </w:r>
      <w:r>
        <w:rPr>
          <w:sz w:val="20"/>
        </w:rPr>
        <w:t>agreement.</w:t>
      </w:r>
    </w:p>
    <w:p>
      <w:pPr>
        <w:pStyle w:val="ListParagraph"/>
        <w:numPr>
          <w:ilvl w:val="0"/>
          <w:numId w:val="1"/>
        </w:numPr>
        <w:tabs>
          <w:tab w:pos="840" w:val="left" w:leader="none"/>
        </w:tabs>
        <w:spacing w:line="360" w:lineRule="auto" w:before="160" w:after="0"/>
        <w:ind w:left="839" w:right="1157" w:hanging="721"/>
        <w:jc w:val="both"/>
        <w:rPr>
          <w:sz w:val="20"/>
        </w:rPr>
      </w:pPr>
      <w:r>
        <w:rPr>
          <w:sz w:val="20"/>
        </w:rPr>
        <w:t>When I was hired as the President of KRN in 2018, I negotiated both an offer letter, and a formal employment</w:t>
      </w:r>
      <w:r>
        <w:rPr>
          <w:spacing w:val="-12"/>
          <w:sz w:val="20"/>
        </w:rPr>
        <w:t> </w:t>
      </w:r>
      <w:r>
        <w:rPr>
          <w:sz w:val="20"/>
        </w:rPr>
        <w:t>agreement,</w:t>
      </w:r>
      <w:r>
        <w:rPr>
          <w:spacing w:val="-12"/>
          <w:sz w:val="20"/>
        </w:rPr>
        <w:t> </w:t>
      </w:r>
      <w:r>
        <w:rPr>
          <w:sz w:val="20"/>
        </w:rPr>
        <w:t>with</w:t>
      </w:r>
      <w:r>
        <w:rPr>
          <w:spacing w:val="-10"/>
          <w:sz w:val="20"/>
        </w:rPr>
        <w:t> </w:t>
      </w:r>
      <w:r>
        <w:rPr>
          <w:sz w:val="20"/>
        </w:rPr>
        <w:t>Rowan</w:t>
      </w:r>
      <w:r>
        <w:rPr>
          <w:spacing w:val="-11"/>
          <w:sz w:val="20"/>
        </w:rPr>
        <w:t> </w:t>
      </w:r>
      <w:r>
        <w:rPr>
          <w:sz w:val="20"/>
        </w:rPr>
        <w:t>as</w:t>
      </w:r>
      <w:r>
        <w:rPr>
          <w:spacing w:val="-10"/>
          <w:sz w:val="20"/>
        </w:rPr>
        <w:t> </w:t>
      </w:r>
      <w:r>
        <w:rPr>
          <w:sz w:val="20"/>
        </w:rPr>
        <w:t>the</w:t>
      </w:r>
      <w:r>
        <w:rPr>
          <w:spacing w:val="-11"/>
          <w:sz w:val="20"/>
        </w:rPr>
        <w:t> </w:t>
      </w:r>
      <w:r>
        <w:rPr>
          <w:sz w:val="20"/>
        </w:rPr>
        <w:t>Interim</w:t>
      </w:r>
      <w:r>
        <w:rPr>
          <w:spacing w:val="-11"/>
          <w:sz w:val="20"/>
        </w:rPr>
        <w:t> </w:t>
      </w:r>
      <w:r>
        <w:rPr>
          <w:sz w:val="20"/>
        </w:rPr>
        <w:t>CEO,</w:t>
      </w:r>
      <w:r>
        <w:rPr>
          <w:spacing w:val="-11"/>
          <w:sz w:val="20"/>
        </w:rPr>
        <w:t> </w:t>
      </w:r>
      <w:r>
        <w:rPr>
          <w:sz w:val="20"/>
        </w:rPr>
        <w:t>and</w:t>
      </w:r>
      <w:r>
        <w:rPr>
          <w:spacing w:val="-11"/>
          <w:sz w:val="20"/>
        </w:rPr>
        <w:t> </w:t>
      </w:r>
      <w:r>
        <w:rPr>
          <w:sz w:val="20"/>
        </w:rPr>
        <w:t>executed</w:t>
      </w:r>
      <w:r>
        <w:rPr>
          <w:spacing w:val="-10"/>
          <w:sz w:val="20"/>
        </w:rPr>
        <w:t> </w:t>
      </w:r>
      <w:r>
        <w:rPr>
          <w:sz w:val="20"/>
        </w:rPr>
        <w:t>both</w:t>
      </w:r>
      <w:r>
        <w:rPr>
          <w:spacing w:val="-11"/>
          <w:sz w:val="20"/>
        </w:rPr>
        <w:t> </w:t>
      </w:r>
      <w:r>
        <w:rPr>
          <w:sz w:val="20"/>
        </w:rPr>
        <w:t>documents</w:t>
      </w:r>
      <w:r>
        <w:rPr>
          <w:spacing w:val="-12"/>
          <w:sz w:val="20"/>
        </w:rPr>
        <w:t> </w:t>
      </w:r>
      <w:r>
        <w:rPr>
          <w:sz w:val="20"/>
        </w:rPr>
        <w:t>within</w:t>
      </w:r>
      <w:r>
        <w:rPr>
          <w:spacing w:val="-11"/>
          <w:sz w:val="20"/>
        </w:rPr>
        <w:t> </w:t>
      </w:r>
      <w:r>
        <w:rPr>
          <w:sz w:val="20"/>
        </w:rPr>
        <w:t>one</w:t>
      </w:r>
    </w:p>
    <w:p>
      <w:pPr>
        <w:pStyle w:val="BodyText"/>
        <w:spacing w:line="229" w:lineRule="exact"/>
        <w:ind w:left="838"/>
        <w:jc w:val="both"/>
      </w:pPr>
      <w:r>
        <w:rPr/>
        <w:t>(1) month of starting the negotiations.</w:t>
      </w:r>
    </w:p>
    <w:p>
      <w:pPr>
        <w:spacing w:after="0" w:line="229" w:lineRule="exact"/>
        <w:jc w:val="both"/>
        <w:sectPr>
          <w:footerReference w:type="default" r:id="rId19"/>
          <w:pgSz w:w="12240" w:h="15840"/>
          <w:pgMar w:footer="1259" w:header="0" w:top="1220" w:bottom="1440" w:left="1320" w:right="280"/>
          <w:pgNumType w:start="35"/>
        </w:sectPr>
      </w:pPr>
    </w:p>
    <w:p>
      <w:pPr>
        <w:pStyle w:val="Heading1"/>
        <w:spacing w:before="77"/>
        <w:ind w:left="120" w:firstLine="0"/>
        <w:jc w:val="both"/>
      </w:pPr>
      <w:r>
        <w:rPr/>
        <w:drawing>
          <wp:anchor distT="0" distB="0" distL="0" distR="0" allowOverlap="1" layoutInCell="1" locked="0" behindDoc="0" simplePos="0" relativeHeight="251698176">
            <wp:simplePos x="0" y="0"/>
            <wp:positionH relativeFrom="page">
              <wp:posOffset>6992315</wp:posOffset>
            </wp:positionH>
            <wp:positionV relativeFrom="page">
              <wp:posOffset>9289328</wp:posOffset>
            </wp:positionV>
            <wp:extent cx="547560" cy="555707"/>
            <wp:effectExtent l="0" t="0" r="0" b="0"/>
            <wp:wrapNone/>
            <wp:docPr id="65" name="image4.png"/>
            <wp:cNvGraphicFramePr>
              <a:graphicFrameLocks noChangeAspect="1"/>
            </wp:cNvGraphicFramePr>
            <a:graphic>
              <a:graphicData uri="http://schemas.openxmlformats.org/drawingml/2006/picture">
                <pic:pic>
                  <pic:nvPicPr>
                    <pic:cNvPr id="66" name="image4.png"/>
                    <pic:cNvPicPr/>
                  </pic:nvPicPr>
                  <pic:blipFill>
                    <a:blip r:embed="rId9" cstate="print"/>
                    <a:stretch>
                      <a:fillRect/>
                    </a:stretch>
                  </pic:blipFill>
                  <pic:spPr>
                    <a:xfrm>
                      <a:off x="0" y="0"/>
                      <a:ext cx="547560" cy="555707"/>
                    </a:xfrm>
                    <a:prstGeom prst="rect">
                      <a:avLst/>
                    </a:prstGeom>
                  </pic:spPr>
                </pic:pic>
              </a:graphicData>
            </a:graphic>
          </wp:anchor>
        </w:drawing>
      </w:r>
      <w:r>
        <w:rPr/>
        <w:drawing>
          <wp:anchor distT="0" distB="0" distL="0" distR="0" allowOverlap="1" layoutInCell="1" locked="0" behindDoc="0" simplePos="0" relativeHeight="251699200">
            <wp:simplePos x="0" y="0"/>
            <wp:positionH relativeFrom="page">
              <wp:posOffset>5837237</wp:posOffset>
            </wp:positionH>
            <wp:positionV relativeFrom="page">
              <wp:posOffset>9266800</wp:posOffset>
            </wp:positionV>
            <wp:extent cx="876722" cy="555707"/>
            <wp:effectExtent l="0" t="0" r="0" b="0"/>
            <wp:wrapNone/>
            <wp:docPr id="67" name="image5.png"/>
            <wp:cNvGraphicFramePr>
              <a:graphicFrameLocks noChangeAspect="1"/>
            </wp:cNvGraphicFramePr>
            <a:graphic>
              <a:graphicData uri="http://schemas.openxmlformats.org/drawingml/2006/picture">
                <pic:pic>
                  <pic:nvPicPr>
                    <pic:cNvPr id="68" name="image5.png"/>
                    <pic:cNvPicPr/>
                  </pic:nvPicPr>
                  <pic:blipFill>
                    <a:blip r:embed="rId10" cstate="print"/>
                    <a:stretch>
                      <a:fillRect/>
                    </a:stretch>
                  </pic:blipFill>
                  <pic:spPr>
                    <a:xfrm>
                      <a:off x="0" y="0"/>
                      <a:ext cx="876722" cy="555707"/>
                    </a:xfrm>
                    <a:prstGeom prst="rect">
                      <a:avLst/>
                    </a:prstGeom>
                  </pic:spPr>
                </pic:pic>
              </a:graphicData>
            </a:graphic>
          </wp:anchor>
        </w:drawing>
      </w:r>
      <w:r>
        <w:rPr/>
        <w:t>Favreau’s Failure to Pay My Increase in Salary</w:t>
      </w:r>
    </w:p>
    <w:p>
      <w:pPr>
        <w:pStyle w:val="BodyText"/>
        <w:spacing w:before="8"/>
        <w:rPr>
          <w:b/>
          <w:sz w:val="23"/>
        </w:rPr>
      </w:pPr>
    </w:p>
    <w:p>
      <w:pPr>
        <w:pStyle w:val="ListParagraph"/>
        <w:numPr>
          <w:ilvl w:val="0"/>
          <w:numId w:val="1"/>
        </w:numPr>
        <w:tabs>
          <w:tab w:pos="840" w:val="left" w:leader="none"/>
        </w:tabs>
        <w:spacing w:line="360" w:lineRule="auto" w:before="0" w:after="0"/>
        <w:ind w:left="839" w:right="1156" w:hanging="720"/>
        <w:jc w:val="both"/>
        <w:rPr>
          <w:sz w:val="20"/>
        </w:rPr>
      </w:pPr>
      <w:r>
        <w:rPr>
          <w:sz w:val="20"/>
        </w:rPr>
        <w:t>Favreau</w:t>
      </w:r>
      <w:r>
        <w:rPr>
          <w:spacing w:val="-3"/>
          <w:sz w:val="20"/>
        </w:rPr>
        <w:t> </w:t>
      </w:r>
      <w:r>
        <w:rPr>
          <w:sz w:val="20"/>
        </w:rPr>
        <w:t>did</w:t>
      </w:r>
      <w:r>
        <w:rPr>
          <w:spacing w:val="-3"/>
          <w:sz w:val="20"/>
        </w:rPr>
        <w:t> </w:t>
      </w:r>
      <w:r>
        <w:rPr>
          <w:sz w:val="20"/>
        </w:rPr>
        <w:t>not</w:t>
      </w:r>
      <w:r>
        <w:rPr>
          <w:spacing w:val="-2"/>
          <w:sz w:val="20"/>
        </w:rPr>
        <w:t> </w:t>
      </w:r>
      <w:r>
        <w:rPr>
          <w:sz w:val="20"/>
        </w:rPr>
        <w:t>pay</w:t>
      </w:r>
      <w:r>
        <w:rPr>
          <w:spacing w:val="-3"/>
          <w:sz w:val="20"/>
        </w:rPr>
        <w:t> </w:t>
      </w:r>
      <w:r>
        <w:rPr>
          <w:sz w:val="20"/>
        </w:rPr>
        <w:t>me</w:t>
      </w:r>
      <w:r>
        <w:rPr>
          <w:spacing w:val="-2"/>
          <w:sz w:val="20"/>
        </w:rPr>
        <w:t> </w:t>
      </w:r>
      <w:r>
        <w:rPr>
          <w:sz w:val="20"/>
        </w:rPr>
        <w:t>the</w:t>
      </w:r>
      <w:r>
        <w:rPr>
          <w:spacing w:val="-3"/>
          <w:sz w:val="20"/>
        </w:rPr>
        <w:t> </w:t>
      </w:r>
      <w:r>
        <w:rPr>
          <w:sz w:val="20"/>
        </w:rPr>
        <w:t>increase</w:t>
      </w:r>
      <w:r>
        <w:rPr>
          <w:spacing w:val="-2"/>
          <w:sz w:val="20"/>
        </w:rPr>
        <w:t> </w:t>
      </w:r>
      <w:r>
        <w:rPr>
          <w:sz w:val="20"/>
        </w:rPr>
        <w:t>in</w:t>
      </w:r>
      <w:r>
        <w:rPr>
          <w:spacing w:val="-4"/>
          <w:sz w:val="20"/>
        </w:rPr>
        <w:t> </w:t>
      </w:r>
      <w:r>
        <w:rPr>
          <w:sz w:val="20"/>
        </w:rPr>
        <w:t>my</w:t>
      </w:r>
      <w:r>
        <w:rPr>
          <w:spacing w:val="-3"/>
          <w:sz w:val="20"/>
        </w:rPr>
        <w:t> </w:t>
      </w:r>
      <w:r>
        <w:rPr>
          <w:sz w:val="20"/>
        </w:rPr>
        <w:t>salary</w:t>
      </w:r>
      <w:r>
        <w:rPr>
          <w:spacing w:val="-2"/>
          <w:sz w:val="20"/>
        </w:rPr>
        <w:t> </w:t>
      </w:r>
      <w:r>
        <w:rPr>
          <w:sz w:val="20"/>
        </w:rPr>
        <w:t>as</w:t>
      </w:r>
      <w:r>
        <w:rPr>
          <w:spacing w:val="-2"/>
          <w:sz w:val="20"/>
        </w:rPr>
        <w:t> </w:t>
      </w:r>
      <w:r>
        <w:rPr>
          <w:sz w:val="20"/>
        </w:rPr>
        <w:t>CEO,</w:t>
      </w:r>
      <w:r>
        <w:rPr>
          <w:spacing w:val="-3"/>
          <w:sz w:val="20"/>
        </w:rPr>
        <w:t> </w:t>
      </w:r>
      <w:r>
        <w:rPr>
          <w:sz w:val="20"/>
        </w:rPr>
        <w:t>as</w:t>
      </w:r>
      <w:r>
        <w:rPr>
          <w:spacing w:val="-1"/>
          <w:sz w:val="20"/>
        </w:rPr>
        <w:t> </w:t>
      </w:r>
      <w:r>
        <w:rPr>
          <w:sz w:val="20"/>
        </w:rPr>
        <w:t>agreed</w:t>
      </w:r>
      <w:r>
        <w:rPr>
          <w:spacing w:val="-2"/>
          <w:sz w:val="20"/>
        </w:rPr>
        <w:t> </w:t>
      </w:r>
      <w:r>
        <w:rPr>
          <w:sz w:val="20"/>
        </w:rPr>
        <w:t>upon</w:t>
      </w:r>
      <w:r>
        <w:rPr>
          <w:spacing w:val="-3"/>
          <w:sz w:val="20"/>
        </w:rPr>
        <w:t> </w:t>
      </w:r>
      <w:r>
        <w:rPr>
          <w:sz w:val="20"/>
        </w:rPr>
        <w:t>on</w:t>
      </w:r>
      <w:r>
        <w:rPr>
          <w:spacing w:val="-2"/>
          <w:sz w:val="20"/>
        </w:rPr>
        <w:t> </w:t>
      </w:r>
      <w:r>
        <w:rPr>
          <w:sz w:val="20"/>
        </w:rPr>
        <w:t>February</w:t>
      </w:r>
      <w:r>
        <w:rPr>
          <w:spacing w:val="-1"/>
          <w:sz w:val="20"/>
        </w:rPr>
        <w:t> </w:t>
      </w:r>
      <w:r>
        <w:rPr>
          <w:sz w:val="20"/>
        </w:rPr>
        <w:t>15,</w:t>
      </w:r>
      <w:r>
        <w:rPr>
          <w:spacing w:val="-2"/>
          <w:sz w:val="20"/>
        </w:rPr>
        <w:t> </w:t>
      </w:r>
      <w:r>
        <w:rPr>
          <w:sz w:val="20"/>
        </w:rPr>
        <w:t>2020, and effective on or about April 5, 2019, until I finally demanded payment in the first week of September 2019, only a few days before I was</w:t>
      </w:r>
      <w:r>
        <w:rPr>
          <w:spacing w:val="-7"/>
          <w:sz w:val="20"/>
        </w:rPr>
        <w:t> </w:t>
      </w:r>
      <w:r>
        <w:rPr>
          <w:sz w:val="20"/>
        </w:rPr>
        <w:t>terminated.</w:t>
      </w:r>
    </w:p>
    <w:p>
      <w:pPr>
        <w:pStyle w:val="ListParagraph"/>
        <w:numPr>
          <w:ilvl w:val="0"/>
          <w:numId w:val="1"/>
        </w:numPr>
        <w:tabs>
          <w:tab w:pos="840" w:val="left" w:leader="none"/>
        </w:tabs>
        <w:spacing w:line="360" w:lineRule="auto" w:before="159" w:after="0"/>
        <w:ind w:left="839" w:right="1158" w:hanging="721"/>
        <w:jc w:val="both"/>
        <w:rPr>
          <w:sz w:val="20"/>
        </w:rPr>
      </w:pPr>
      <w:r>
        <w:rPr>
          <w:sz w:val="20"/>
        </w:rPr>
        <w:t>I verily believe that Favreau was either negligent, incompetent, or under instructions from Varma, not to pay me the increase in my salary until I demanded</w:t>
      </w:r>
      <w:r>
        <w:rPr>
          <w:spacing w:val="-13"/>
          <w:sz w:val="20"/>
        </w:rPr>
        <w:t> </w:t>
      </w:r>
      <w:r>
        <w:rPr>
          <w:sz w:val="20"/>
        </w:rPr>
        <w:t>it.</w:t>
      </w:r>
    </w:p>
    <w:p>
      <w:pPr>
        <w:pStyle w:val="Heading1"/>
        <w:spacing w:before="160"/>
        <w:ind w:left="119" w:firstLine="0"/>
        <w:jc w:val="both"/>
      </w:pPr>
      <w:r>
        <w:rPr/>
        <w:t>Favreau’s Failure to Pay Rowan’s Final Invoice</w:t>
      </w:r>
    </w:p>
    <w:p>
      <w:pPr>
        <w:pStyle w:val="BodyText"/>
        <w:spacing w:before="9"/>
        <w:rPr>
          <w:b/>
          <w:sz w:val="30"/>
        </w:rPr>
      </w:pPr>
    </w:p>
    <w:p>
      <w:pPr>
        <w:pStyle w:val="ListParagraph"/>
        <w:numPr>
          <w:ilvl w:val="0"/>
          <w:numId w:val="1"/>
        </w:numPr>
        <w:tabs>
          <w:tab w:pos="840" w:val="left" w:leader="none"/>
        </w:tabs>
        <w:spacing w:line="360" w:lineRule="auto" w:before="0" w:after="0"/>
        <w:ind w:left="839" w:right="1156" w:hanging="721"/>
        <w:jc w:val="both"/>
        <w:rPr>
          <w:sz w:val="20"/>
        </w:rPr>
      </w:pPr>
      <w:r>
        <w:rPr>
          <w:sz w:val="20"/>
        </w:rPr>
        <w:t>I am advised by Rowan, and verily believe, that Favreau terminated his consulting contract with KRN</w:t>
      </w:r>
      <w:r>
        <w:rPr>
          <w:spacing w:val="-12"/>
          <w:sz w:val="20"/>
        </w:rPr>
        <w:t> </w:t>
      </w:r>
      <w:r>
        <w:rPr>
          <w:sz w:val="20"/>
        </w:rPr>
        <w:t>the</w:t>
      </w:r>
      <w:r>
        <w:rPr>
          <w:spacing w:val="-11"/>
          <w:sz w:val="20"/>
        </w:rPr>
        <w:t> </w:t>
      </w:r>
      <w:r>
        <w:rPr>
          <w:sz w:val="20"/>
        </w:rPr>
        <w:t>day</w:t>
      </w:r>
      <w:r>
        <w:rPr>
          <w:spacing w:val="-13"/>
          <w:sz w:val="20"/>
        </w:rPr>
        <w:t> </w:t>
      </w:r>
      <w:r>
        <w:rPr>
          <w:sz w:val="20"/>
        </w:rPr>
        <w:t>after</w:t>
      </w:r>
      <w:r>
        <w:rPr>
          <w:spacing w:val="-11"/>
          <w:sz w:val="20"/>
        </w:rPr>
        <w:t> </w:t>
      </w:r>
      <w:r>
        <w:rPr>
          <w:sz w:val="20"/>
        </w:rPr>
        <w:t>the</w:t>
      </w:r>
      <w:r>
        <w:rPr>
          <w:spacing w:val="-12"/>
          <w:sz w:val="20"/>
        </w:rPr>
        <w:t> </w:t>
      </w:r>
      <w:r>
        <w:rPr>
          <w:sz w:val="20"/>
        </w:rPr>
        <w:t>Concerned</w:t>
      </w:r>
      <w:r>
        <w:rPr>
          <w:spacing w:val="-11"/>
          <w:sz w:val="20"/>
        </w:rPr>
        <w:t> </w:t>
      </w:r>
      <w:r>
        <w:rPr>
          <w:sz w:val="20"/>
        </w:rPr>
        <w:t>Shareholders</w:t>
      </w:r>
      <w:r>
        <w:rPr>
          <w:spacing w:val="-13"/>
          <w:sz w:val="20"/>
        </w:rPr>
        <w:t> </w:t>
      </w:r>
      <w:r>
        <w:rPr>
          <w:sz w:val="20"/>
        </w:rPr>
        <w:t>sent</w:t>
      </w:r>
      <w:r>
        <w:rPr>
          <w:spacing w:val="-12"/>
          <w:sz w:val="20"/>
        </w:rPr>
        <w:t> </w:t>
      </w:r>
      <w:r>
        <w:rPr>
          <w:sz w:val="20"/>
        </w:rPr>
        <w:t>the</w:t>
      </w:r>
      <w:r>
        <w:rPr>
          <w:spacing w:val="-12"/>
          <w:sz w:val="20"/>
        </w:rPr>
        <w:t> </w:t>
      </w:r>
      <w:r>
        <w:rPr>
          <w:sz w:val="20"/>
        </w:rPr>
        <w:t>Requisition</w:t>
      </w:r>
      <w:r>
        <w:rPr>
          <w:spacing w:val="-11"/>
          <w:sz w:val="20"/>
        </w:rPr>
        <w:t> </w:t>
      </w:r>
      <w:r>
        <w:rPr>
          <w:sz w:val="20"/>
        </w:rPr>
        <w:t>to</w:t>
      </w:r>
      <w:r>
        <w:rPr>
          <w:spacing w:val="-12"/>
          <w:sz w:val="20"/>
        </w:rPr>
        <w:t> </w:t>
      </w:r>
      <w:r>
        <w:rPr>
          <w:sz w:val="20"/>
        </w:rPr>
        <w:t>KRN.</w:t>
      </w:r>
      <w:r>
        <w:rPr>
          <w:spacing w:val="31"/>
          <w:sz w:val="20"/>
        </w:rPr>
        <w:t> </w:t>
      </w:r>
      <w:r>
        <w:rPr>
          <w:sz w:val="20"/>
        </w:rPr>
        <w:t>Attached</w:t>
      </w:r>
      <w:r>
        <w:rPr>
          <w:spacing w:val="-11"/>
          <w:sz w:val="20"/>
        </w:rPr>
        <w:t> </w:t>
      </w:r>
      <w:r>
        <w:rPr>
          <w:sz w:val="20"/>
        </w:rPr>
        <w:t>and</w:t>
      </w:r>
      <w:r>
        <w:rPr>
          <w:spacing w:val="-12"/>
          <w:sz w:val="20"/>
        </w:rPr>
        <w:t> </w:t>
      </w:r>
      <w:r>
        <w:rPr>
          <w:sz w:val="20"/>
        </w:rPr>
        <w:t>marked as </w:t>
      </w:r>
      <w:r>
        <w:rPr>
          <w:b/>
          <w:sz w:val="20"/>
        </w:rPr>
        <w:t>Exhibit “WW” </w:t>
      </w:r>
      <w:r>
        <w:rPr>
          <w:sz w:val="20"/>
        </w:rPr>
        <w:t>to theFDW Affidavit is a copy of the letter of termination of Rowan’s</w:t>
      </w:r>
      <w:r>
        <w:rPr>
          <w:spacing w:val="-28"/>
          <w:sz w:val="20"/>
        </w:rPr>
        <w:t> </w:t>
      </w:r>
      <w:r>
        <w:rPr>
          <w:sz w:val="20"/>
        </w:rPr>
        <w:t>contract.</w:t>
      </w:r>
    </w:p>
    <w:p>
      <w:pPr>
        <w:pStyle w:val="BodyText"/>
        <w:spacing w:before="10"/>
      </w:pPr>
    </w:p>
    <w:p>
      <w:pPr>
        <w:pStyle w:val="ListParagraph"/>
        <w:numPr>
          <w:ilvl w:val="0"/>
          <w:numId w:val="1"/>
        </w:numPr>
        <w:tabs>
          <w:tab w:pos="840" w:val="left" w:leader="none"/>
        </w:tabs>
        <w:spacing w:line="360" w:lineRule="auto" w:before="0" w:after="0"/>
        <w:ind w:left="839" w:right="1158" w:hanging="721"/>
        <w:jc w:val="both"/>
        <w:rPr>
          <w:sz w:val="20"/>
        </w:rPr>
      </w:pPr>
      <w:r>
        <w:rPr>
          <w:sz w:val="20"/>
        </w:rPr>
        <w:t>I am advised by Rowan, and verily believe, that Favreau has not, as of the date of this Affidavit, paid Rowan’s final invoice as a consultant to KRN, which invoice was rendered and due in July 2020, a period of time approaching 6 months from the date of the</w:t>
      </w:r>
      <w:r>
        <w:rPr>
          <w:spacing w:val="-17"/>
          <w:sz w:val="20"/>
        </w:rPr>
        <w:t> </w:t>
      </w:r>
      <w:r>
        <w:rPr>
          <w:sz w:val="20"/>
        </w:rPr>
        <w:t>invoice.</w:t>
      </w:r>
    </w:p>
    <w:p>
      <w:pPr>
        <w:pStyle w:val="Heading1"/>
        <w:spacing w:before="160"/>
        <w:ind w:left="119" w:firstLine="0"/>
        <w:jc w:val="both"/>
      </w:pPr>
      <w:r>
        <w:rPr/>
        <w:t>Favreau’s Conduct</w:t>
      </w:r>
    </w:p>
    <w:p>
      <w:pPr>
        <w:pStyle w:val="BodyText"/>
        <w:spacing w:before="10"/>
        <w:rPr>
          <w:b/>
          <w:sz w:val="23"/>
        </w:rPr>
      </w:pPr>
    </w:p>
    <w:p>
      <w:pPr>
        <w:pStyle w:val="ListParagraph"/>
        <w:numPr>
          <w:ilvl w:val="0"/>
          <w:numId w:val="1"/>
        </w:numPr>
        <w:tabs>
          <w:tab w:pos="839" w:val="left" w:leader="none"/>
          <w:tab w:pos="840" w:val="left" w:leader="none"/>
        </w:tabs>
        <w:spacing w:line="240" w:lineRule="auto" w:before="0" w:after="0"/>
        <w:ind w:left="839" w:right="0" w:hanging="721"/>
        <w:jc w:val="left"/>
        <w:rPr>
          <w:sz w:val="20"/>
        </w:rPr>
      </w:pPr>
      <w:r>
        <w:rPr>
          <w:sz w:val="20"/>
        </w:rPr>
        <w:t>I verily believe that Favreau’s conduct</w:t>
      </w:r>
      <w:r>
        <w:rPr>
          <w:spacing w:val="-6"/>
          <w:sz w:val="20"/>
        </w:rPr>
        <w:t> </w:t>
      </w:r>
      <w:r>
        <w:rPr>
          <w:sz w:val="20"/>
        </w:rPr>
        <w:t>in:</w:t>
      </w:r>
    </w:p>
    <w:p>
      <w:pPr>
        <w:pStyle w:val="BodyText"/>
        <w:spacing w:before="9"/>
        <w:rPr>
          <w:sz w:val="23"/>
        </w:rPr>
      </w:pPr>
    </w:p>
    <w:p>
      <w:pPr>
        <w:pStyle w:val="ListParagraph"/>
        <w:numPr>
          <w:ilvl w:val="1"/>
          <w:numId w:val="1"/>
        </w:numPr>
        <w:tabs>
          <w:tab w:pos="1559" w:val="left" w:leader="none"/>
          <w:tab w:pos="1560" w:val="left" w:leader="none"/>
        </w:tabs>
        <w:spacing w:line="240" w:lineRule="auto" w:before="0" w:after="0"/>
        <w:ind w:left="1559" w:right="0" w:hanging="721"/>
        <w:jc w:val="left"/>
        <w:rPr>
          <w:rFonts w:ascii="Symbol" w:hAnsi="Symbol"/>
          <w:sz w:val="20"/>
        </w:rPr>
      </w:pPr>
      <w:r>
        <w:rPr>
          <w:sz w:val="20"/>
        </w:rPr>
        <w:t>lying on the terms and conditions of the CEO Offer</w:t>
      </w:r>
      <w:r>
        <w:rPr>
          <w:spacing w:val="-11"/>
          <w:sz w:val="20"/>
        </w:rPr>
        <w:t> </w:t>
      </w:r>
      <w:r>
        <w:rPr>
          <w:sz w:val="20"/>
        </w:rPr>
        <w:t>Letter;</w:t>
      </w:r>
    </w:p>
    <w:p>
      <w:pPr>
        <w:pStyle w:val="BodyText"/>
        <w:spacing w:before="8"/>
        <w:rPr>
          <w:sz w:val="23"/>
        </w:rPr>
      </w:pPr>
    </w:p>
    <w:p>
      <w:pPr>
        <w:pStyle w:val="ListParagraph"/>
        <w:numPr>
          <w:ilvl w:val="1"/>
          <w:numId w:val="1"/>
        </w:numPr>
        <w:tabs>
          <w:tab w:pos="1558" w:val="left" w:leader="none"/>
          <w:tab w:pos="1560" w:val="left" w:leader="none"/>
        </w:tabs>
        <w:spacing w:line="240" w:lineRule="auto" w:before="0" w:after="0"/>
        <w:ind w:left="1559" w:right="0" w:hanging="721"/>
        <w:jc w:val="left"/>
        <w:rPr>
          <w:rFonts w:ascii="Symbol" w:hAnsi="Symbol"/>
          <w:sz w:val="20"/>
        </w:rPr>
      </w:pPr>
      <w:r>
        <w:rPr>
          <w:sz w:val="20"/>
        </w:rPr>
        <w:t>lying on her</w:t>
      </w:r>
      <w:r>
        <w:rPr>
          <w:spacing w:val="-5"/>
          <w:sz w:val="20"/>
        </w:rPr>
        <w:t> </w:t>
      </w:r>
      <w:r>
        <w:rPr>
          <w:sz w:val="20"/>
        </w:rPr>
        <w:t>resume;</w:t>
      </w:r>
    </w:p>
    <w:p>
      <w:pPr>
        <w:pStyle w:val="BodyText"/>
        <w:spacing w:before="8"/>
        <w:rPr>
          <w:sz w:val="23"/>
        </w:rPr>
      </w:pPr>
    </w:p>
    <w:p>
      <w:pPr>
        <w:pStyle w:val="ListParagraph"/>
        <w:numPr>
          <w:ilvl w:val="1"/>
          <w:numId w:val="1"/>
        </w:numPr>
        <w:tabs>
          <w:tab w:pos="1558" w:val="left" w:leader="none"/>
          <w:tab w:pos="1560" w:val="left" w:leader="none"/>
        </w:tabs>
        <w:spacing w:line="240" w:lineRule="auto" w:before="0" w:after="0"/>
        <w:ind w:left="1559" w:right="0" w:hanging="721"/>
        <w:jc w:val="left"/>
        <w:rPr>
          <w:rFonts w:ascii="Symbol" w:hAnsi="Symbol"/>
          <w:sz w:val="20"/>
        </w:rPr>
      </w:pPr>
      <w:r>
        <w:rPr>
          <w:sz w:val="20"/>
        </w:rPr>
        <w:t>intentionally</w:t>
      </w:r>
      <w:r>
        <w:rPr>
          <w:spacing w:val="-11"/>
          <w:sz w:val="20"/>
        </w:rPr>
        <w:t> </w:t>
      </w:r>
      <w:r>
        <w:rPr>
          <w:sz w:val="20"/>
        </w:rPr>
        <w:t>misrepresenting</w:t>
      </w:r>
      <w:r>
        <w:rPr>
          <w:spacing w:val="-10"/>
          <w:sz w:val="20"/>
        </w:rPr>
        <w:t> </w:t>
      </w:r>
      <w:r>
        <w:rPr>
          <w:sz w:val="20"/>
        </w:rPr>
        <w:t>matters</w:t>
      </w:r>
      <w:r>
        <w:rPr>
          <w:spacing w:val="-10"/>
          <w:sz w:val="20"/>
        </w:rPr>
        <w:t> </w:t>
      </w:r>
      <w:r>
        <w:rPr>
          <w:sz w:val="20"/>
        </w:rPr>
        <w:t>in</w:t>
      </w:r>
      <w:r>
        <w:rPr>
          <w:spacing w:val="-10"/>
          <w:sz w:val="20"/>
        </w:rPr>
        <w:t> </w:t>
      </w:r>
      <w:r>
        <w:rPr>
          <w:sz w:val="20"/>
        </w:rPr>
        <w:t>the</w:t>
      </w:r>
      <w:r>
        <w:rPr>
          <w:spacing w:val="-10"/>
          <w:sz w:val="20"/>
        </w:rPr>
        <w:t> </w:t>
      </w:r>
      <w:r>
        <w:rPr>
          <w:sz w:val="20"/>
        </w:rPr>
        <w:t>KRN</w:t>
      </w:r>
      <w:r>
        <w:rPr>
          <w:spacing w:val="-11"/>
          <w:sz w:val="20"/>
        </w:rPr>
        <w:t> </w:t>
      </w:r>
      <w:r>
        <w:rPr>
          <w:sz w:val="20"/>
        </w:rPr>
        <w:t>Circular</w:t>
      </w:r>
      <w:r>
        <w:rPr>
          <w:spacing w:val="-9"/>
          <w:sz w:val="20"/>
        </w:rPr>
        <w:t> </w:t>
      </w:r>
      <w:r>
        <w:rPr>
          <w:sz w:val="20"/>
        </w:rPr>
        <w:t>that</w:t>
      </w:r>
      <w:r>
        <w:rPr>
          <w:spacing w:val="-12"/>
          <w:sz w:val="20"/>
        </w:rPr>
        <w:t> </w:t>
      </w:r>
      <w:r>
        <w:rPr>
          <w:sz w:val="20"/>
        </w:rPr>
        <w:t>she</w:t>
      </w:r>
      <w:r>
        <w:rPr>
          <w:spacing w:val="-11"/>
          <w:sz w:val="20"/>
        </w:rPr>
        <w:t> </w:t>
      </w:r>
      <w:r>
        <w:rPr>
          <w:sz w:val="20"/>
        </w:rPr>
        <w:t>knows</w:t>
      </w:r>
      <w:r>
        <w:rPr>
          <w:spacing w:val="-10"/>
          <w:sz w:val="20"/>
        </w:rPr>
        <w:t> </w:t>
      </w:r>
      <w:r>
        <w:rPr>
          <w:sz w:val="20"/>
        </w:rPr>
        <w:t>are</w:t>
      </w:r>
      <w:r>
        <w:rPr>
          <w:spacing w:val="-10"/>
          <w:sz w:val="20"/>
        </w:rPr>
        <w:t> </w:t>
      </w:r>
      <w:r>
        <w:rPr>
          <w:sz w:val="20"/>
        </w:rPr>
        <w:t>incorrect;</w:t>
      </w:r>
      <w:r>
        <w:rPr>
          <w:spacing w:val="-11"/>
          <w:sz w:val="20"/>
        </w:rPr>
        <w:t> </w:t>
      </w:r>
      <w:r>
        <w:rPr>
          <w:sz w:val="20"/>
        </w:rPr>
        <w:t>and</w:t>
      </w:r>
    </w:p>
    <w:p>
      <w:pPr>
        <w:pStyle w:val="BodyText"/>
        <w:spacing w:before="7"/>
        <w:rPr>
          <w:sz w:val="23"/>
        </w:rPr>
      </w:pPr>
    </w:p>
    <w:p>
      <w:pPr>
        <w:pStyle w:val="ListParagraph"/>
        <w:numPr>
          <w:ilvl w:val="1"/>
          <w:numId w:val="1"/>
        </w:numPr>
        <w:tabs>
          <w:tab w:pos="1558" w:val="left" w:leader="none"/>
          <w:tab w:pos="1560" w:val="left" w:leader="none"/>
        </w:tabs>
        <w:spacing w:line="350" w:lineRule="auto" w:before="0" w:after="0"/>
        <w:ind w:left="1559" w:right="1159" w:hanging="721"/>
        <w:jc w:val="left"/>
        <w:rPr>
          <w:rFonts w:ascii="Symbol" w:hAnsi="Symbol"/>
          <w:sz w:val="20"/>
        </w:rPr>
      </w:pPr>
      <w:r>
        <w:rPr>
          <w:sz w:val="20"/>
        </w:rPr>
        <w:t>adopting the same pattern as Varma of changing her mind and attempting to suggest a later decision is in fact her earlier</w:t>
      </w:r>
      <w:r>
        <w:rPr>
          <w:spacing w:val="-8"/>
          <w:sz w:val="20"/>
        </w:rPr>
        <w:t> </w:t>
      </w:r>
      <w:r>
        <w:rPr>
          <w:sz w:val="20"/>
        </w:rPr>
        <w:t>decision;</w:t>
      </w:r>
    </w:p>
    <w:p>
      <w:pPr>
        <w:pStyle w:val="BodyText"/>
        <w:spacing w:before="170"/>
        <w:ind w:left="839"/>
      </w:pPr>
      <w:r>
        <w:rPr/>
        <w:t>is not:</w:t>
      </w:r>
    </w:p>
    <w:p>
      <w:pPr>
        <w:pStyle w:val="BodyText"/>
        <w:spacing w:before="9"/>
        <w:rPr>
          <w:sz w:val="23"/>
        </w:rPr>
      </w:pPr>
    </w:p>
    <w:p>
      <w:pPr>
        <w:pStyle w:val="ListParagraph"/>
        <w:numPr>
          <w:ilvl w:val="1"/>
          <w:numId w:val="1"/>
        </w:numPr>
        <w:tabs>
          <w:tab w:pos="1558" w:val="left" w:leader="none"/>
          <w:tab w:pos="1560" w:val="left" w:leader="none"/>
        </w:tabs>
        <w:spacing w:line="240" w:lineRule="auto" w:before="0" w:after="0"/>
        <w:ind w:left="1559" w:right="0" w:hanging="721"/>
        <w:jc w:val="left"/>
        <w:rPr>
          <w:rFonts w:ascii="Symbol" w:hAnsi="Symbol"/>
          <w:sz w:val="20"/>
        </w:rPr>
      </w:pPr>
      <w:r>
        <w:rPr>
          <w:sz w:val="20"/>
        </w:rPr>
        <w:t>honest and ethical</w:t>
      </w:r>
      <w:r>
        <w:rPr>
          <w:spacing w:val="-6"/>
          <w:sz w:val="20"/>
        </w:rPr>
        <w:t> </w:t>
      </w:r>
      <w:r>
        <w:rPr>
          <w:sz w:val="20"/>
        </w:rPr>
        <w:t>conduct;</w:t>
      </w:r>
    </w:p>
    <w:p>
      <w:pPr>
        <w:pStyle w:val="BodyText"/>
        <w:spacing w:before="8"/>
        <w:rPr>
          <w:sz w:val="23"/>
        </w:rPr>
      </w:pPr>
    </w:p>
    <w:p>
      <w:pPr>
        <w:pStyle w:val="ListParagraph"/>
        <w:numPr>
          <w:ilvl w:val="1"/>
          <w:numId w:val="1"/>
        </w:numPr>
        <w:tabs>
          <w:tab w:pos="1558" w:val="left" w:leader="none"/>
          <w:tab w:pos="1559" w:val="left" w:leader="none"/>
        </w:tabs>
        <w:spacing w:line="240" w:lineRule="auto" w:before="0" w:after="0"/>
        <w:ind w:left="1558" w:right="0" w:hanging="721"/>
        <w:jc w:val="left"/>
        <w:rPr>
          <w:rFonts w:ascii="Symbol" w:hAnsi="Symbol"/>
          <w:sz w:val="20"/>
        </w:rPr>
      </w:pPr>
      <w:r>
        <w:rPr>
          <w:sz w:val="20"/>
        </w:rPr>
        <w:t>is a clear breach of the KRN Code;</w:t>
      </w:r>
      <w:r>
        <w:rPr>
          <w:spacing w:val="-7"/>
          <w:sz w:val="20"/>
        </w:rPr>
        <w:t> </w:t>
      </w:r>
      <w:r>
        <w:rPr>
          <w:sz w:val="20"/>
        </w:rPr>
        <w:t>and</w:t>
      </w:r>
    </w:p>
    <w:p>
      <w:pPr>
        <w:pStyle w:val="BodyText"/>
        <w:spacing w:before="8"/>
        <w:rPr>
          <w:sz w:val="23"/>
        </w:rPr>
      </w:pPr>
    </w:p>
    <w:p>
      <w:pPr>
        <w:pStyle w:val="ListParagraph"/>
        <w:numPr>
          <w:ilvl w:val="1"/>
          <w:numId w:val="1"/>
        </w:numPr>
        <w:tabs>
          <w:tab w:pos="1558" w:val="left" w:leader="none"/>
          <w:tab w:pos="1559" w:val="left" w:leader="none"/>
        </w:tabs>
        <w:spacing w:line="240" w:lineRule="auto" w:before="0" w:after="0"/>
        <w:ind w:left="1558" w:right="0" w:hanging="721"/>
        <w:jc w:val="left"/>
        <w:rPr>
          <w:rFonts w:ascii="Symbol" w:hAnsi="Symbol"/>
          <w:sz w:val="20"/>
        </w:rPr>
      </w:pPr>
      <w:r>
        <w:rPr>
          <w:sz w:val="20"/>
        </w:rPr>
        <w:t>is most likely a breach of code of professional conduct of the CPA</w:t>
      </w:r>
      <w:r>
        <w:rPr>
          <w:spacing w:val="-16"/>
          <w:sz w:val="20"/>
        </w:rPr>
        <w:t> </w:t>
      </w:r>
      <w:r>
        <w:rPr>
          <w:sz w:val="20"/>
        </w:rPr>
        <w:t>Association.</w:t>
      </w:r>
    </w:p>
    <w:p>
      <w:pPr>
        <w:pStyle w:val="BodyText"/>
        <w:spacing w:before="9"/>
        <w:rPr>
          <w:sz w:val="23"/>
        </w:rPr>
      </w:pPr>
    </w:p>
    <w:p>
      <w:pPr>
        <w:spacing w:before="0"/>
        <w:ind w:left="118" w:right="0" w:firstLine="0"/>
        <w:jc w:val="both"/>
        <w:rPr>
          <w:b/>
          <w:sz w:val="20"/>
        </w:rPr>
      </w:pPr>
      <w:r>
        <w:rPr>
          <w:b/>
          <w:color w:val="1C1C1C"/>
          <w:sz w:val="20"/>
        </w:rPr>
        <w:t>Settlement Discussions</w:t>
      </w:r>
    </w:p>
    <w:p>
      <w:pPr>
        <w:pStyle w:val="BodyText"/>
        <w:spacing w:before="7"/>
        <w:rPr>
          <w:b/>
          <w:sz w:val="30"/>
        </w:rPr>
      </w:pPr>
    </w:p>
    <w:p>
      <w:pPr>
        <w:pStyle w:val="ListParagraph"/>
        <w:numPr>
          <w:ilvl w:val="0"/>
          <w:numId w:val="15"/>
        </w:numPr>
        <w:tabs>
          <w:tab w:pos="839" w:val="left" w:leader="none"/>
          <w:tab w:pos="841" w:val="left" w:leader="none"/>
        </w:tabs>
        <w:spacing w:line="240" w:lineRule="auto" w:before="0" w:after="0"/>
        <w:ind w:left="840" w:right="0" w:hanging="721"/>
        <w:jc w:val="left"/>
        <w:rPr>
          <w:b/>
          <w:sz w:val="20"/>
        </w:rPr>
      </w:pPr>
      <w:r>
        <w:rPr>
          <w:b/>
          <w:color w:val="1C1C1C"/>
          <w:sz w:val="20"/>
          <w:u w:val="thick" w:color="1C1C1C"/>
        </w:rPr>
        <w:t>Good Faith</w:t>
      </w:r>
      <w:r>
        <w:rPr>
          <w:b/>
          <w:color w:val="1C1C1C"/>
          <w:spacing w:val="-3"/>
          <w:sz w:val="20"/>
          <w:u w:val="thick" w:color="1C1C1C"/>
        </w:rPr>
        <w:t> </w:t>
      </w:r>
      <w:r>
        <w:rPr>
          <w:b/>
          <w:color w:val="1C1C1C"/>
          <w:sz w:val="20"/>
          <w:u w:val="thick" w:color="1C1C1C"/>
        </w:rPr>
        <w:t>Discussions</w:t>
      </w:r>
    </w:p>
    <w:p>
      <w:pPr>
        <w:pStyle w:val="BodyText"/>
        <w:spacing w:before="9"/>
        <w:rPr>
          <w:b/>
          <w:sz w:val="22"/>
        </w:rPr>
      </w:pPr>
    </w:p>
    <w:p>
      <w:pPr>
        <w:pStyle w:val="ListParagraph"/>
        <w:numPr>
          <w:ilvl w:val="0"/>
          <w:numId w:val="1"/>
        </w:numPr>
        <w:tabs>
          <w:tab w:pos="839" w:val="left" w:leader="none"/>
          <w:tab w:pos="841" w:val="left" w:leader="none"/>
        </w:tabs>
        <w:spacing w:line="360" w:lineRule="auto" w:before="94" w:after="0"/>
        <w:ind w:left="840" w:right="1157" w:hanging="721"/>
        <w:jc w:val="left"/>
        <w:rPr>
          <w:color w:val="1C1C1C"/>
          <w:sz w:val="20"/>
        </w:rPr>
      </w:pPr>
      <w:r>
        <w:rPr>
          <w:color w:val="1C1C1C"/>
          <w:sz w:val="20"/>
        </w:rPr>
        <w:t>In early November 2020, the Concerned Shareholders began discussions (the “</w:t>
      </w:r>
      <w:r>
        <w:rPr>
          <w:b/>
          <w:color w:val="1C1C1C"/>
          <w:sz w:val="20"/>
        </w:rPr>
        <w:t>Settlement Discussions</w:t>
      </w:r>
      <w:r>
        <w:rPr>
          <w:color w:val="1C1C1C"/>
          <w:sz w:val="20"/>
        </w:rPr>
        <w:t>”),</w:t>
      </w:r>
      <w:r>
        <w:rPr>
          <w:color w:val="1C1C1C"/>
          <w:spacing w:val="8"/>
          <w:sz w:val="20"/>
        </w:rPr>
        <w:t> </w:t>
      </w:r>
      <w:r>
        <w:rPr>
          <w:color w:val="1C1C1C"/>
          <w:sz w:val="20"/>
        </w:rPr>
        <w:t>through</w:t>
      </w:r>
      <w:r>
        <w:rPr>
          <w:color w:val="1C1C1C"/>
          <w:spacing w:val="9"/>
          <w:sz w:val="20"/>
        </w:rPr>
        <w:t> </w:t>
      </w:r>
      <w:r>
        <w:rPr>
          <w:color w:val="1C1C1C"/>
          <w:sz w:val="20"/>
        </w:rPr>
        <w:t>a</w:t>
      </w:r>
      <w:r>
        <w:rPr>
          <w:color w:val="1C1C1C"/>
          <w:spacing w:val="10"/>
          <w:sz w:val="20"/>
        </w:rPr>
        <w:t> </w:t>
      </w:r>
      <w:r>
        <w:rPr>
          <w:color w:val="1C1C1C"/>
          <w:sz w:val="20"/>
        </w:rPr>
        <w:t>number</w:t>
      </w:r>
      <w:r>
        <w:rPr>
          <w:color w:val="1C1C1C"/>
          <w:spacing w:val="10"/>
          <w:sz w:val="20"/>
        </w:rPr>
        <w:t> </w:t>
      </w:r>
      <w:r>
        <w:rPr>
          <w:color w:val="1C1C1C"/>
          <w:sz w:val="20"/>
        </w:rPr>
        <w:t>of</w:t>
      </w:r>
      <w:r>
        <w:rPr>
          <w:color w:val="1C1C1C"/>
          <w:spacing w:val="9"/>
          <w:sz w:val="20"/>
        </w:rPr>
        <w:t> </w:t>
      </w:r>
      <w:r>
        <w:rPr>
          <w:color w:val="1C1C1C"/>
          <w:sz w:val="20"/>
        </w:rPr>
        <w:t>intermediaries</w:t>
      </w:r>
      <w:r>
        <w:rPr>
          <w:color w:val="1C1C1C"/>
          <w:spacing w:val="9"/>
          <w:sz w:val="20"/>
        </w:rPr>
        <w:t> </w:t>
      </w:r>
      <w:r>
        <w:rPr>
          <w:color w:val="1C1C1C"/>
          <w:sz w:val="20"/>
        </w:rPr>
        <w:t>(the</w:t>
      </w:r>
      <w:r>
        <w:rPr>
          <w:color w:val="1C1C1C"/>
          <w:spacing w:val="9"/>
          <w:sz w:val="20"/>
        </w:rPr>
        <w:t> </w:t>
      </w:r>
      <w:r>
        <w:rPr>
          <w:color w:val="1C1C1C"/>
          <w:sz w:val="20"/>
        </w:rPr>
        <w:t>“</w:t>
      </w:r>
      <w:r>
        <w:rPr>
          <w:b/>
          <w:color w:val="1C1C1C"/>
          <w:sz w:val="20"/>
        </w:rPr>
        <w:t>Intermediaries</w:t>
      </w:r>
      <w:r>
        <w:rPr>
          <w:color w:val="1C1C1C"/>
          <w:sz w:val="20"/>
        </w:rPr>
        <w:t>”),</w:t>
      </w:r>
      <w:r>
        <w:rPr>
          <w:color w:val="1C1C1C"/>
          <w:spacing w:val="9"/>
          <w:sz w:val="20"/>
        </w:rPr>
        <w:t> </w:t>
      </w:r>
      <w:r>
        <w:rPr>
          <w:color w:val="1C1C1C"/>
          <w:sz w:val="20"/>
        </w:rPr>
        <w:t>with</w:t>
      </w:r>
      <w:r>
        <w:rPr>
          <w:color w:val="1C1C1C"/>
          <w:spacing w:val="8"/>
          <w:sz w:val="20"/>
        </w:rPr>
        <w:t> </w:t>
      </w:r>
      <w:r>
        <w:rPr>
          <w:color w:val="1C1C1C"/>
          <w:sz w:val="20"/>
        </w:rPr>
        <w:t>senior</w:t>
      </w:r>
      <w:r>
        <w:rPr>
          <w:color w:val="1C1C1C"/>
          <w:spacing w:val="10"/>
          <w:sz w:val="20"/>
        </w:rPr>
        <w:t> </w:t>
      </w:r>
      <w:r>
        <w:rPr>
          <w:color w:val="1C1C1C"/>
          <w:sz w:val="20"/>
        </w:rPr>
        <w:t>members</w:t>
      </w:r>
    </w:p>
    <w:p>
      <w:pPr>
        <w:spacing w:after="0" w:line="360" w:lineRule="auto"/>
        <w:jc w:val="left"/>
        <w:rPr>
          <w:sz w:val="20"/>
        </w:rPr>
        <w:sectPr>
          <w:pgSz w:w="12240" w:h="15840"/>
          <w:pgMar w:header="0" w:footer="1259" w:top="1220" w:bottom="1440" w:left="1320" w:right="280"/>
        </w:sectPr>
      </w:pPr>
    </w:p>
    <w:p>
      <w:pPr>
        <w:pStyle w:val="BodyText"/>
        <w:spacing w:line="360" w:lineRule="auto" w:before="75"/>
        <w:ind w:left="840" w:right="1085"/>
      </w:pPr>
      <w:r>
        <w:rPr/>
        <w:drawing>
          <wp:anchor distT="0" distB="0" distL="0" distR="0" allowOverlap="1" layoutInCell="1" locked="0" behindDoc="0" simplePos="0" relativeHeight="251700224">
            <wp:simplePos x="0" y="0"/>
            <wp:positionH relativeFrom="page">
              <wp:posOffset>6887171</wp:posOffset>
            </wp:positionH>
            <wp:positionV relativeFrom="page">
              <wp:posOffset>9371938</wp:posOffset>
            </wp:positionV>
            <wp:extent cx="547560" cy="555707"/>
            <wp:effectExtent l="0" t="0" r="0" b="0"/>
            <wp:wrapNone/>
            <wp:docPr id="69" name="image4.png"/>
            <wp:cNvGraphicFramePr>
              <a:graphicFrameLocks noChangeAspect="1"/>
            </wp:cNvGraphicFramePr>
            <a:graphic>
              <a:graphicData uri="http://schemas.openxmlformats.org/drawingml/2006/picture">
                <pic:pic>
                  <pic:nvPicPr>
                    <pic:cNvPr id="70" name="image4.png"/>
                    <pic:cNvPicPr/>
                  </pic:nvPicPr>
                  <pic:blipFill>
                    <a:blip r:embed="rId9" cstate="print"/>
                    <a:stretch>
                      <a:fillRect/>
                    </a:stretch>
                  </pic:blipFill>
                  <pic:spPr>
                    <a:xfrm>
                      <a:off x="0" y="0"/>
                      <a:ext cx="547560" cy="555707"/>
                    </a:xfrm>
                    <a:prstGeom prst="rect">
                      <a:avLst/>
                    </a:prstGeom>
                  </pic:spPr>
                </pic:pic>
              </a:graphicData>
            </a:graphic>
          </wp:anchor>
        </w:drawing>
      </w:r>
      <w:r>
        <w:rPr/>
        <w:drawing>
          <wp:anchor distT="0" distB="0" distL="0" distR="0" allowOverlap="1" layoutInCell="1" locked="0" behindDoc="0" simplePos="0" relativeHeight="251701248">
            <wp:simplePos x="0" y="0"/>
            <wp:positionH relativeFrom="page">
              <wp:posOffset>5769648</wp:posOffset>
            </wp:positionH>
            <wp:positionV relativeFrom="page">
              <wp:posOffset>9251787</wp:posOffset>
            </wp:positionV>
            <wp:extent cx="876722" cy="555707"/>
            <wp:effectExtent l="0" t="0" r="0" b="0"/>
            <wp:wrapNone/>
            <wp:docPr id="71" name="image5.png"/>
            <wp:cNvGraphicFramePr>
              <a:graphicFrameLocks noChangeAspect="1"/>
            </wp:cNvGraphicFramePr>
            <a:graphic>
              <a:graphicData uri="http://schemas.openxmlformats.org/drawingml/2006/picture">
                <pic:pic>
                  <pic:nvPicPr>
                    <pic:cNvPr id="72" name="image5.png"/>
                    <pic:cNvPicPr/>
                  </pic:nvPicPr>
                  <pic:blipFill>
                    <a:blip r:embed="rId10" cstate="print"/>
                    <a:stretch>
                      <a:fillRect/>
                    </a:stretch>
                  </pic:blipFill>
                  <pic:spPr>
                    <a:xfrm>
                      <a:off x="0" y="0"/>
                      <a:ext cx="876722" cy="555707"/>
                    </a:xfrm>
                    <a:prstGeom prst="rect">
                      <a:avLst/>
                    </a:prstGeom>
                  </pic:spPr>
                </pic:pic>
              </a:graphicData>
            </a:graphic>
          </wp:anchor>
        </w:drawing>
      </w:r>
      <w:r>
        <w:rPr>
          <w:color w:val="1C1C1C"/>
        </w:rPr>
        <w:t>of</w:t>
      </w:r>
      <w:r>
        <w:rPr>
          <w:color w:val="1C1C1C"/>
          <w:spacing w:val="-15"/>
        </w:rPr>
        <w:t> </w:t>
      </w:r>
      <w:r>
        <w:rPr>
          <w:color w:val="1C1C1C"/>
        </w:rPr>
        <w:t>the</w:t>
      </w:r>
      <w:r>
        <w:rPr>
          <w:color w:val="1C1C1C"/>
          <w:spacing w:val="-14"/>
        </w:rPr>
        <w:t> </w:t>
      </w:r>
      <w:r>
        <w:rPr>
          <w:color w:val="1C1C1C"/>
        </w:rPr>
        <w:t>Gujarat</w:t>
      </w:r>
      <w:r>
        <w:rPr>
          <w:color w:val="1C1C1C"/>
          <w:spacing w:val="-17"/>
        </w:rPr>
        <w:t> </w:t>
      </w:r>
      <w:r>
        <w:rPr>
          <w:color w:val="1C1C1C"/>
        </w:rPr>
        <w:t>Government,</w:t>
      </w:r>
      <w:r>
        <w:rPr>
          <w:color w:val="1C1C1C"/>
          <w:spacing w:val="-14"/>
        </w:rPr>
        <w:t> </w:t>
      </w:r>
      <w:r>
        <w:rPr>
          <w:color w:val="1C1C1C"/>
        </w:rPr>
        <w:t>in</w:t>
      </w:r>
      <w:r>
        <w:rPr>
          <w:color w:val="1C1C1C"/>
          <w:spacing w:val="-14"/>
        </w:rPr>
        <w:t> </w:t>
      </w:r>
      <w:r>
        <w:rPr>
          <w:color w:val="1C1C1C"/>
        </w:rPr>
        <w:t>good</w:t>
      </w:r>
      <w:r>
        <w:rPr>
          <w:color w:val="1C1C1C"/>
          <w:spacing w:val="-15"/>
        </w:rPr>
        <w:t> </w:t>
      </w:r>
      <w:r>
        <w:rPr>
          <w:color w:val="1C1C1C"/>
        </w:rPr>
        <w:t>faith</w:t>
      </w:r>
      <w:r>
        <w:rPr>
          <w:color w:val="1C1C1C"/>
          <w:spacing w:val="-14"/>
        </w:rPr>
        <w:t> </w:t>
      </w:r>
      <w:r>
        <w:rPr>
          <w:color w:val="1C1C1C"/>
        </w:rPr>
        <w:t>regarding</w:t>
      </w:r>
      <w:r>
        <w:rPr>
          <w:color w:val="1C1C1C"/>
          <w:spacing w:val="-14"/>
        </w:rPr>
        <w:t> </w:t>
      </w:r>
      <w:r>
        <w:rPr>
          <w:color w:val="1C1C1C"/>
        </w:rPr>
        <w:t>reaching</w:t>
      </w:r>
      <w:r>
        <w:rPr>
          <w:color w:val="1C1C1C"/>
          <w:spacing w:val="-16"/>
        </w:rPr>
        <w:t> </w:t>
      </w:r>
      <w:r>
        <w:rPr>
          <w:color w:val="1C1C1C"/>
        </w:rPr>
        <w:t>a</w:t>
      </w:r>
      <w:r>
        <w:rPr>
          <w:color w:val="1C1C1C"/>
          <w:spacing w:val="-14"/>
        </w:rPr>
        <w:t> </w:t>
      </w:r>
      <w:r>
        <w:rPr>
          <w:color w:val="1C1C1C"/>
        </w:rPr>
        <w:t>settlement</w:t>
      </w:r>
      <w:r>
        <w:rPr>
          <w:color w:val="1C1C1C"/>
          <w:spacing w:val="-14"/>
        </w:rPr>
        <w:t> </w:t>
      </w:r>
      <w:r>
        <w:rPr>
          <w:color w:val="1C1C1C"/>
        </w:rPr>
        <w:t>agreement</w:t>
      </w:r>
      <w:r>
        <w:rPr>
          <w:color w:val="1C1C1C"/>
          <w:spacing w:val="-15"/>
        </w:rPr>
        <w:t> </w:t>
      </w:r>
      <w:r>
        <w:rPr>
          <w:color w:val="1C1C1C"/>
        </w:rPr>
        <w:t>regarding</w:t>
      </w:r>
      <w:r>
        <w:rPr>
          <w:color w:val="1C1C1C"/>
          <w:spacing w:val="-14"/>
        </w:rPr>
        <w:t> </w:t>
      </w:r>
      <w:r>
        <w:rPr>
          <w:color w:val="1C1C1C"/>
        </w:rPr>
        <w:t>their proposal to reconstitute the KRN Board with six (6)</w:t>
      </w:r>
      <w:r>
        <w:rPr>
          <w:color w:val="1C1C1C"/>
          <w:spacing w:val="-10"/>
        </w:rPr>
        <w:t> </w:t>
      </w:r>
      <w:r>
        <w:rPr>
          <w:color w:val="1C1C1C"/>
        </w:rPr>
        <w:t>directors.</w:t>
      </w:r>
    </w:p>
    <w:p>
      <w:pPr>
        <w:pStyle w:val="BodyText"/>
        <w:spacing w:before="10"/>
      </w:pPr>
    </w:p>
    <w:p>
      <w:pPr>
        <w:pStyle w:val="ListParagraph"/>
        <w:numPr>
          <w:ilvl w:val="0"/>
          <w:numId w:val="1"/>
        </w:numPr>
        <w:tabs>
          <w:tab w:pos="840" w:val="left" w:leader="none"/>
        </w:tabs>
        <w:spacing w:line="360" w:lineRule="auto" w:before="0" w:after="0"/>
        <w:ind w:left="839" w:right="1157" w:hanging="721"/>
        <w:jc w:val="both"/>
        <w:rPr>
          <w:color w:val="1C1C1C"/>
          <w:sz w:val="20"/>
        </w:rPr>
      </w:pPr>
      <w:r>
        <w:rPr>
          <w:color w:val="1C1C1C"/>
          <w:sz w:val="20"/>
        </w:rPr>
        <w:t>Given a new GSFC MD was appointed on December 8, 2020, direct discussions with the new GSFC MD were not possible prior to the Special</w:t>
      </w:r>
      <w:r>
        <w:rPr>
          <w:color w:val="1C1C1C"/>
          <w:spacing w:val="-8"/>
          <w:sz w:val="20"/>
        </w:rPr>
        <w:t> </w:t>
      </w:r>
      <w:r>
        <w:rPr>
          <w:color w:val="1C1C1C"/>
          <w:sz w:val="20"/>
        </w:rPr>
        <w:t>Meeting.</w:t>
      </w:r>
    </w:p>
    <w:p>
      <w:pPr>
        <w:pStyle w:val="BodyText"/>
        <w:spacing w:before="10"/>
      </w:pPr>
    </w:p>
    <w:p>
      <w:pPr>
        <w:pStyle w:val="ListParagraph"/>
        <w:numPr>
          <w:ilvl w:val="0"/>
          <w:numId w:val="1"/>
        </w:numPr>
        <w:tabs>
          <w:tab w:pos="840" w:val="left" w:leader="none"/>
        </w:tabs>
        <w:spacing w:line="360" w:lineRule="auto" w:before="1" w:after="0"/>
        <w:ind w:left="840" w:right="1157" w:hanging="721"/>
        <w:jc w:val="both"/>
        <w:rPr>
          <w:color w:val="1C1C1C"/>
          <w:sz w:val="20"/>
        </w:rPr>
      </w:pPr>
      <w:r>
        <w:rPr>
          <w:color w:val="1C1C1C"/>
          <w:sz w:val="20"/>
        </w:rPr>
        <w:t>The Intermediaries suggested to the Gujarat Government, and the KRN Board, as a good faith gesture</w:t>
      </w:r>
      <w:r>
        <w:rPr>
          <w:color w:val="1C1C1C"/>
          <w:spacing w:val="-6"/>
          <w:sz w:val="20"/>
        </w:rPr>
        <w:t> </w:t>
      </w:r>
      <w:r>
        <w:rPr>
          <w:color w:val="1C1C1C"/>
          <w:sz w:val="20"/>
        </w:rPr>
        <w:t>with</w:t>
      </w:r>
      <w:r>
        <w:rPr>
          <w:color w:val="1C1C1C"/>
          <w:spacing w:val="-5"/>
          <w:sz w:val="20"/>
        </w:rPr>
        <w:t> </w:t>
      </w:r>
      <w:r>
        <w:rPr>
          <w:color w:val="1C1C1C"/>
          <w:sz w:val="20"/>
        </w:rPr>
        <w:t>respect</w:t>
      </w:r>
      <w:r>
        <w:rPr>
          <w:color w:val="1C1C1C"/>
          <w:spacing w:val="-6"/>
          <w:sz w:val="20"/>
        </w:rPr>
        <w:t> </w:t>
      </w:r>
      <w:r>
        <w:rPr>
          <w:color w:val="1C1C1C"/>
          <w:sz w:val="20"/>
        </w:rPr>
        <w:t>to</w:t>
      </w:r>
      <w:r>
        <w:rPr>
          <w:color w:val="1C1C1C"/>
          <w:spacing w:val="-5"/>
          <w:sz w:val="20"/>
        </w:rPr>
        <w:t> </w:t>
      </w:r>
      <w:r>
        <w:rPr>
          <w:color w:val="1C1C1C"/>
          <w:sz w:val="20"/>
        </w:rPr>
        <w:t>the</w:t>
      </w:r>
      <w:r>
        <w:rPr>
          <w:color w:val="1C1C1C"/>
          <w:spacing w:val="-4"/>
          <w:sz w:val="20"/>
        </w:rPr>
        <w:t> </w:t>
      </w:r>
      <w:r>
        <w:rPr>
          <w:color w:val="1C1C1C"/>
          <w:sz w:val="20"/>
        </w:rPr>
        <w:t>Settlement</w:t>
      </w:r>
      <w:r>
        <w:rPr>
          <w:color w:val="1C1C1C"/>
          <w:spacing w:val="-6"/>
          <w:sz w:val="20"/>
        </w:rPr>
        <w:t> </w:t>
      </w:r>
      <w:r>
        <w:rPr>
          <w:color w:val="1C1C1C"/>
          <w:sz w:val="20"/>
        </w:rPr>
        <w:t>Discussions,</w:t>
      </w:r>
      <w:r>
        <w:rPr>
          <w:color w:val="1C1C1C"/>
          <w:spacing w:val="-6"/>
          <w:sz w:val="20"/>
        </w:rPr>
        <w:t> </w:t>
      </w:r>
      <w:r>
        <w:rPr>
          <w:color w:val="1C1C1C"/>
          <w:sz w:val="20"/>
        </w:rPr>
        <w:t>that</w:t>
      </w:r>
      <w:r>
        <w:rPr>
          <w:color w:val="1C1C1C"/>
          <w:spacing w:val="-6"/>
          <w:sz w:val="20"/>
        </w:rPr>
        <w:t> </w:t>
      </w:r>
      <w:r>
        <w:rPr>
          <w:color w:val="1C1C1C"/>
          <w:sz w:val="20"/>
        </w:rPr>
        <w:t>in</w:t>
      </w:r>
      <w:r>
        <w:rPr>
          <w:color w:val="1C1C1C"/>
          <w:spacing w:val="-5"/>
          <w:sz w:val="20"/>
        </w:rPr>
        <w:t> </w:t>
      </w:r>
      <w:r>
        <w:rPr>
          <w:color w:val="1C1C1C"/>
          <w:sz w:val="20"/>
        </w:rPr>
        <w:t>order</w:t>
      </w:r>
      <w:r>
        <w:rPr>
          <w:color w:val="1C1C1C"/>
          <w:spacing w:val="-5"/>
          <w:sz w:val="20"/>
        </w:rPr>
        <w:t> </w:t>
      </w:r>
      <w:r>
        <w:rPr>
          <w:color w:val="1C1C1C"/>
          <w:sz w:val="20"/>
        </w:rPr>
        <w:t>to</w:t>
      </w:r>
      <w:r>
        <w:rPr>
          <w:color w:val="1C1C1C"/>
          <w:spacing w:val="-4"/>
          <w:sz w:val="20"/>
        </w:rPr>
        <w:t> </w:t>
      </w:r>
      <w:r>
        <w:rPr>
          <w:color w:val="1C1C1C"/>
          <w:sz w:val="20"/>
        </w:rPr>
        <w:t>give</w:t>
      </w:r>
      <w:r>
        <w:rPr>
          <w:color w:val="1C1C1C"/>
          <w:spacing w:val="-5"/>
          <w:sz w:val="20"/>
        </w:rPr>
        <w:t> </w:t>
      </w:r>
      <w:r>
        <w:rPr>
          <w:color w:val="1C1C1C"/>
          <w:sz w:val="20"/>
        </w:rPr>
        <w:t>the</w:t>
      </w:r>
      <w:r>
        <w:rPr>
          <w:color w:val="1C1C1C"/>
          <w:spacing w:val="-5"/>
          <w:sz w:val="20"/>
        </w:rPr>
        <w:t> </w:t>
      </w:r>
      <w:r>
        <w:rPr>
          <w:color w:val="1C1C1C"/>
          <w:sz w:val="20"/>
        </w:rPr>
        <w:t>new</w:t>
      </w:r>
      <w:r>
        <w:rPr>
          <w:color w:val="1C1C1C"/>
          <w:spacing w:val="-6"/>
          <w:sz w:val="20"/>
        </w:rPr>
        <w:t> </w:t>
      </w:r>
      <w:r>
        <w:rPr>
          <w:color w:val="1C1C1C"/>
          <w:sz w:val="20"/>
        </w:rPr>
        <w:t>GSFC</w:t>
      </w:r>
      <w:r>
        <w:rPr>
          <w:color w:val="1C1C1C"/>
          <w:spacing w:val="-5"/>
          <w:sz w:val="20"/>
        </w:rPr>
        <w:t> </w:t>
      </w:r>
      <w:r>
        <w:rPr>
          <w:color w:val="1C1C1C"/>
          <w:sz w:val="20"/>
        </w:rPr>
        <w:t>MD</w:t>
      </w:r>
      <w:r>
        <w:rPr>
          <w:color w:val="1C1C1C"/>
          <w:spacing w:val="-5"/>
          <w:sz w:val="20"/>
        </w:rPr>
        <w:t> </w:t>
      </w:r>
      <w:r>
        <w:rPr>
          <w:color w:val="1C1C1C"/>
          <w:sz w:val="20"/>
        </w:rPr>
        <w:t>time</w:t>
      </w:r>
      <w:r>
        <w:rPr>
          <w:color w:val="1C1C1C"/>
          <w:spacing w:val="-5"/>
          <w:sz w:val="20"/>
        </w:rPr>
        <w:t> </w:t>
      </w:r>
      <w:r>
        <w:rPr>
          <w:color w:val="1C1C1C"/>
          <w:sz w:val="20"/>
        </w:rPr>
        <w:t>to familiarize himself with this matter,</w:t>
      </w:r>
      <w:r>
        <w:rPr>
          <w:color w:val="1C1C1C"/>
          <w:spacing w:val="-5"/>
          <w:sz w:val="20"/>
        </w:rPr>
        <w:t> </w:t>
      </w:r>
      <w:r>
        <w:rPr>
          <w:color w:val="1C1C1C"/>
          <w:sz w:val="20"/>
        </w:rPr>
        <w:t>that:</w:t>
      </w:r>
    </w:p>
    <w:p>
      <w:pPr>
        <w:pStyle w:val="BodyText"/>
        <w:spacing w:before="10"/>
      </w:pPr>
    </w:p>
    <w:p>
      <w:pPr>
        <w:pStyle w:val="ListParagraph"/>
        <w:numPr>
          <w:ilvl w:val="1"/>
          <w:numId w:val="1"/>
        </w:numPr>
        <w:tabs>
          <w:tab w:pos="1559" w:val="left" w:leader="none"/>
          <w:tab w:pos="1561" w:val="left" w:leader="none"/>
        </w:tabs>
        <w:spacing w:line="350" w:lineRule="auto" w:before="0" w:after="0"/>
        <w:ind w:left="1559" w:right="1157" w:hanging="720"/>
        <w:jc w:val="left"/>
        <w:rPr>
          <w:rFonts w:ascii="Symbol" w:hAnsi="Symbol"/>
          <w:color w:val="1C1C1C"/>
          <w:sz w:val="20"/>
        </w:rPr>
      </w:pPr>
      <w:r>
        <w:rPr>
          <w:color w:val="1C1C1C"/>
          <w:sz w:val="20"/>
        </w:rPr>
        <w:t>the Special Meeting be postponed, or adjourned, for a period of thirty (30) days for the Settlement Discussions to continue;</w:t>
      </w:r>
      <w:r>
        <w:rPr>
          <w:color w:val="1C1C1C"/>
          <w:spacing w:val="-5"/>
          <w:sz w:val="20"/>
        </w:rPr>
        <w:t> </w:t>
      </w:r>
      <w:r>
        <w:rPr>
          <w:color w:val="1C1C1C"/>
          <w:sz w:val="20"/>
        </w:rPr>
        <w:t>and</w:t>
      </w:r>
    </w:p>
    <w:p>
      <w:pPr>
        <w:pStyle w:val="BodyText"/>
        <w:spacing w:before="10"/>
        <w:rPr>
          <w:sz w:val="30"/>
        </w:rPr>
      </w:pPr>
    </w:p>
    <w:p>
      <w:pPr>
        <w:pStyle w:val="ListParagraph"/>
        <w:numPr>
          <w:ilvl w:val="1"/>
          <w:numId w:val="1"/>
        </w:numPr>
        <w:tabs>
          <w:tab w:pos="1559" w:val="left" w:leader="none"/>
          <w:tab w:pos="1560" w:val="left" w:leader="none"/>
        </w:tabs>
        <w:spacing w:line="350" w:lineRule="auto" w:before="1" w:after="0"/>
        <w:ind w:left="1559" w:right="1157" w:hanging="721"/>
        <w:jc w:val="left"/>
        <w:rPr>
          <w:rFonts w:ascii="Symbol" w:hAnsi="Symbol"/>
          <w:color w:val="1C1C1C"/>
          <w:sz w:val="20"/>
        </w:rPr>
      </w:pPr>
      <w:r>
        <w:rPr>
          <w:color w:val="1C1C1C"/>
          <w:sz w:val="20"/>
        </w:rPr>
        <w:t>GSFC</w:t>
      </w:r>
      <w:r>
        <w:rPr>
          <w:color w:val="1C1C1C"/>
          <w:spacing w:val="-6"/>
          <w:sz w:val="20"/>
        </w:rPr>
        <w:t> </w:t>
      </w:r>
      <w:r>
        <w:rPr>
          <w:color w:val="1C1C1C"/>
          <w:sz w:val="20"/>
        </w:rPr>
        <w:t>withdraw</w:t>
      </w:r>
      <w:r>
        <w:rPr>
          <w:color w:val="1C1C1C"/>
          <w:spacing w:val="-5"/>
          <w:sz w:val="20"/>
        </w:rPr>
        <w:t> </w:t>
      </w:r>
      <w:r>
        <w:rPr>
          <w:color w:val="1C1C1C"/>
          <w:sz w:val="20"/>
        </w:rPr>
        <w:t>its</w:t>
      </w:r>
      <w:r>
        <w:rPr>
          <w:color w:val="1C1C1C"/>
          <w:spacing w:val="-5"/>
          <w:sz w:val="20"/>
        </w:rPr>
        <w:t> </w:t>
      </w:r>
      <w:r>
        <w:rPr>
          <w:color w:val="1C1C1C"/>
          <w:sz w:val="20"/>
        </w:rPr>
        <w:t>proxy</w:t>
      </w:r>
      <w:r>
        <w:rPr>
          <w:color w:val="1C1C1C"/>
          <w:spacing w:val="-6"/>
          <w:sz w:val="20"/>
        </w:rPr>
        <w:t> </w:t>
      </w:r>
      <w:r>
        <w:rPr>
          <w:color w:val="1C1C1C"/>
          <w:sz w:val="20"/>
        </w:rPr>
        <w:t>for</w:t>
      </w:r>
      <w:r>
        <w:rPr>
          <w:color w:val="1C1C1C"/>
          <w:spacing w:val="-5"/>
          <w:sz w:val="20"/>
        </w:rPr>
        <w:t> </w:t>
      </w:r>
      <w:r>
        <w:rPr>
          <w:color w:val="1C1C1C"/>
          <w:sz w:val="20"/>
        </w:rPr>
        <w:t>the</w:t>
      </w:r>
      <w:r>
        <w:rPr>
          <w:color w:val="1C1C1C"/>
          <w:spacing w:val="-5"/>
          <w:sz w:val="20"/>
        </w:rPr>
        <w:t> </w:t>
      </w:r>
      <w:r>
        <w:rPr>
          <w:color w:val="1C1C1C"/>
          <w:sz w:val="20"/>
        </w:rPr>
        <w:t>Special</w:t>
      </w:r>
      <w:r>
        <w:rPr>
          <w:color w:val="1C1C1C"/>
          <w:spacing w:val="-7"/>
          <w:sz w:val="20"/>
        </w:rPr>
        <w:t> </w:t>
      </w:r>
      <w:r>
        <w:rPr>
          <w:color w:val="1C1C1C"/>
          <w:sz w:val="20"/>
        </w:rPr>
        <w:t>Meeting</w:t>
      </w:r>
      <w:r>
        <w:rPr>
          <w:color w:val="1C1C1C"/>
          <w:spacing w:val="-6"/>
          <w:sz w:val="20"/>
        </w:rPr>
        <w:t> </w:t>
      </w:r>
      <w:r>
        <w:rPr>
          <w:color w:val="1C1C1C"/>
          <w:sz w:val="20"/>
        </w:rPr>
        <w:t>for</w:t>
      </w:r>
      <w:r>
        <w:rPr>
          <w:color w:val="1C1C1C"/>
          <w:spacing w:val="-5"/>
          <w:sz w:val="20"/>
        </w:rPr>
        <w:t> </w:t>
      </w:r>
      <w:r>
        <w:rPr>
          <w:color w:val="1C1C1C"/>
          <w:sz w:val="20"/>
        </w:rPr>
        <w:t>a</w:t>
      </w:r>
      <w:r>
        <w:rPr>
          <w:color w:val="1C1C1C"/>
          <w:spacing w:val="-6"/>
          <w:sz w:val="20"/>
        </w:rPr>
        <w:t> </w:t>
      </w:r>
      <w:r>
        <w:rPr>
          <w:color w:val="1C1C1C"/>
          <w:sz w:val="20"/>
        </w:rPr>
        <w:t>period</w:t>
      </w:r>
      <w:r>
        <w:rPr>
          <w:color w:val="1C1C1C"/>
          <w:spacing w:val="-6"/>
          <w:sz w:val="20"/>
        </w:rPr>
        <w:t> </w:t>
      </w:r>
      <w:r>
        <w:rPr>
          <w:color w:val="1C1C1C"/>
          <w:sz w:val="20"/>
        </w:rPr>
        <w:t>of</w:t>
      </w:r>
      <w:r>
        <w:rPr>
          <w:color w:val="1C1C1C"/>
          <w:spacing w:val="-6"/>
          <w:sz w:val="20"/>
        </w:rPr>
        <w:t> </w:t>
      </w:r>
      <w:r>
        <w:rPr>
          <w:color w:val="1C1C1C"/>
          <w:sz w:val="20"/>
        </w:rPr>
        <w:t>thirty</w:t>
      </w:r>
      <w:r>
        <w:rPr>
          <w:color w:val="1C1C1C"/>
          <w:spacing w:val="-5"/>
          <w:sz w:val="20"/>
        </w:rPr>
        <w:t> </w:t>
      </w:r>
      <w:r>
        <w:rPr>
          <w:color w:val="1C1C1C"/>
          <w:sz w:val="20"/>
        </w:rPr>
        <w:t>(30)</w:t>
      </w:r>
      <w:r>
        <w:rPr>
          <w:color w:val="1C1C1C"/>
          <w:spacing w:val="-5"/>
          <w:sz w:val="20"/>
        </w:rPr>
        <w:t> </w:t>
      </w:r>
      <w:r>
        <w:rPr>
          <w:color w:val="1C1C1C"/>
          <w:sz w:val="20"/>
        </w:rPr>
        <w:t>days,</w:t>
      </w:r>
      <w:r>
        <w:rPr>
          <w:color w:val="1C1C1C"/>
          <w:spacing w:val="-7"/>
          <w:sz w:val="20"/>
        </w:rPr>
        <w:t> </w:t>
      </w:r>
      <w:r>
        <w:rPr>
          <w:color w:val="1C1C1C"/>
          <w:sz w:val="20"/>
        </w:rPr>
        <w:t>in</w:t>
      </w:r>
      <w:r>
        <w:rPr>
          <w:color w:val="1C1C1C"/>
          <w:spacing w:val="-5"/>
          <w:sz w:val="20"/>
        </w:rPr>
        <w:t> </w:t>
      </w:r>
      <w:r>
        <w:rPr>
          <w:color w:val="1C1C1C"/>
          <w:sz w:val="20"/>
        </w:rPr>
        <w:t>order</w:t>
      </w:r>
      <w:r>
        <w:rPr>
          <w:color w:val="1C1C1C"/>
          <w:spacing w:val="-5"/>
          <w:sz w:val="20"/>
        </w:rPr>
        <w:t> </w:t>
      </w:r>
      <w:r>
        <w:rPr>
          <w:color w:val="1C1C1C"/>
          <w:sz w:val="20"/>
        </w:rPr>
        <w:t>to facilitate the continuation of the Settlement</w:t>
      </w:r>
      <w:r>
        <w:rPr>
          <w:color w:val="1C1C1C"/>
          <w:spacing w:val="-9"/>
          <w:sz w:val="20"/>
        </w:rPr>
        <w:t> </w:t>
      </w:r>
      <w:r>
        <w:rPr>
          <w:color w:val="1C1C1C"/>
          <w:sz w:val="20"/>
        </w:rPr>
        <w:t>Discussions.</w:t>
      </w:r>
    </w:p>
    <w:p>
      <w:pPr>
        <w:pStyle w:val="BodyText"/>
        <w:spacing w:before="7"/>
        <w:rPr>
          <w:sz w:val="21"/>
        </w:rPr>
      </w:pPr>
    </w:p>
    <w:p>
      <w:pPr>
        <w:pStyle w:val="ListParagraph"/>
        <w:numPr>
          <w:ilvl w:val="0"/>
          <w:numId w:val="1"/>
        </w:numPr>
        <w:tabs>
          <w:tab w:pos="840" w:val="left" w:leader="none"/>
        </w:tabs>
        <w:spacing w:line="360" w:lineRule="auto" w:before="0" w:after="0"/>
        <w:ind w:left="840" w:right="1158" w:hanging="721"/>
        <w:jc w:val="both"/>
        <w:rPr>
          <w:color w:val="1C1C1C"/>
          <w:sz w:val="20"/>
        </w:rPr>
      </w:pPr>
      <w:r>
        <w:rPr>
          <w:color w:val="1C1C1C"/>
          <w:sz w:val="20"/>
        </w:rPr>
        <w:t>Notwithstanding these good faith suggestions, GSFC, the GSFC Nominees, the KRN Board and management held the Special</w:t>
      </w:r>
      <w:r>
        <w:rPr>
          <w:color w:val="1C1C1C"/>
          <w:spacing w:val="-5"/>
          <w:sz w:val="20"/>
        </w:rPr>
        <w:t> </w:t>
      </w:r>
      <w:r>
        <w:rPr>
          <w:color w:val="1C1C1C"/>
          <w:sz w:val="20"/>
        </w:rPr>
        <w:t>Meeting.</w:t>
      </w:r>
    </w:p>
    <w:p>
      <w:pPr>
        <w:pStyle w:val="BodyText"/>
        <w:spacing w:before="9"/>
      </w:pPr>
    </w:p>
    <w:p>
      <w:pPr>
        <w:pStyle w:val="ListParagraph"/>
        <w:numPr>
          <w:ilvl w:val="0"/>
          <w:numId w:val="15"/>
        </w:numPr>
        <w:tabs>
          <w:tab w:pos="839" w:val="left" w:leader="none"/>
          <w:tab w:pos="841" w:val="left" w:leader="none"/>
        </w:tabs>
        <w:spacing w:line="240" w:lineRule="auto" w:before="1" w:after="0"/>
        <w:ind w:left="840" w:right="0" w:hanging="721"/>
        <w:jc w:val="left"/>
        <w:rPr>
          <w:b/>
          <w:sz w:val="20"/>
        </w:rPr>
      </w:pPr>
      <w:r>
        <w:rPr>
          <w:b/>
          <w:color w:val="1C1C1C"/>
          <w:sz w:val="20"/>
          <w:u w:val="thick" w:color="1C1C1C"/>
        </w:rPr>
        <w:t>Bad</w:t>
      </w:r>
      <w:r>
        <w:rPr>
          <w:b/>
          <w:color w:val="1C1C1C"/>
          <w:spacing w:val="-1"/>
          <w:sz w:val="20"/>
          <w:u w:val="thick" w:color="1C1C1C"/>
        </w:rPr>
        <w:t> </w:t>
      </w:r>
      <w:r>
        <w:rPr>
          <w:b/>
          <w:color w:val="1C1C1C"/>
          <w:sz w:val="20"/>
          <w:u w:val="thick" w:color="1C1C1C"/>
        </w:rPr>
        <w:t>Faith</w:t>
      </w:r>
    </w:p>
    <w:p>
      <w:pPr>
        <w:pStyle w:val="BodyText"/>
        <w:spacing w:before="8"/>
        <w:rPr>
          <w:b/>
          <w:sz w:val="22"/>
        </w:rPr>
      </w:pPr>
    </w:p>
    <w:p>
      <w:pPr>
        <w:pStyle w:val="ListParagraph"/>
        <w:numPr>
          <w:ilvl w:val="0"/>
          <w:numId w:val="1"/>
        </w:numPr>
        <w:tabs>
          <w:tab w:pos="841" w:val="left" w:leader="none"/>
        </w:tabs>
        <w:spacing w:line="360" w:lineRule="auto" w:before="94" w:after="0"/>
        <w:ind w:left="840" w:right="1157" w:hanging="721"/>
        <w:jc w:val="both"/>
        <w:rPr>
          <w:color w:val="1C1C1C"/>
          <w:sz w:val="20"/>
        </w:rPr>
      </w:pPr>
      <w:r>
        <w:rPr>
          <w:color w:val="1C1C1C"/>
          <w:sz w:val="20"/>
        </w:rPr>
        <w:t>I</w:t>
      </w:r>
      <w:r>
        <w:rPr>
          <w:color w:val="1C1C1C"/>
          <w:spacing w:val="-11"/>
          <w:sz w:val="20"/>
        </w:rPr>
        <w:t> </w:t>
      </w:r>
      <w:r>
        <w:rPr>
          <w:color w:val="1C1C1C"/>
          <w:sz w:val="20"/>
        </w:rPr>
        <w:t>am</w:t>
      </w:r>
      <w:r>
        <w:rPr>
          <w:color w:val="1C1C1C"/>
          <w:spacing w:val="-10"/>
          <w:sz w:val="20"/>
        </w:rPr>
        <w:t> </w:t>
      </w:r>
      <w:r>
        <w:rPr>
          <w:color w:val="1C1C1C"/>
          <w:sz w:val="20"/>
        </w:rPr>
        <w:t>advised</w:t>
      </w:r>
      <w:r>
        <w:rPr>
          <w:color w:val="1C1C1C"/>
          <w:spacing w:val="-10"/>
          <w:sz w:val="20"/>
        </w:rPr>
        <w:t> </w:t>
      </w:r>
      <w:r>
        <w:rPr>
          <w:color w:val="1C1C1C"/>
          <w:sz w:val="20"/>
        </w:rPr>
        <w:t>by</w:t>
      </w:r>
      <w:r>
        <w:rPr>
          <w:color w:val="1C1C1C"/>
          <w:spacing w:val="-10"/>
          <w:sz w:val="20"/>
        </w:rPr>
        <w:t> </w:t>
      </w:r>
      <w:r>
        <w:rPr>
          <w:color w:val="1C1C1C"/>
          <w:sz w:val="20"/>
        </w:rPr>
        <w:t>one</w:t>
      </w:r>
      <w:r>
        <w:rPr>
          <w:color w:val="1C1C1C"/>
          <w:spacing w:val="-9"/>
          <w:sz w:val="20"/>
        </w:rPr>
        <w:t> </w:t>
      </w:r>
      <w:r>
        <w:rPr>
          <w:color w:val="1C1C1C"/>
          <w:sz w:val="20"/>
        </w:rPr>
        <w:t>of</w:t>
      </w:r>
      <w:r>
        <w:rPr>
          <w:color w:val="1C1C1C"/>
          <w:spacing w:val="-11"/>
          <w:sz w:val="20"/>
        </w:rPr>
        <w:t> </w:t>
      </w:r>
      <w:r>
        <w:rPr>
          <w:color w:val="1C1C1C"/>
          <w:sz w:val="20"/>
        </w:rPr>
        <w:t>the</w:t>
      </w:r>
      <w:r>
        <w:rPr>
          <w:color w:val="1C1C1C"/>
          <w:spacing w:val="-8"/>
          <w:sz w:val="20"/>
        </w:rPr>
        <w:t> </w:t>
      </w:r>
      <w:r>
        <w:rPr>
          <w:color w:val="1C1C1C"/>
          <w:sz w:val="20"/>
        </w:rPr>
        <w:t>Intermediaries,</w:t>
      </w:r>
      <w:r>
        <w:rPr>
          <w:color w:val="1C1C1C"/>
          <w:spacing w:val="-11"/>
          <w:sz w:val="20"/>
        </w:rPr>
        <w:t> </w:t>
      </w:r>
      <w:r>
        <w:rPr>
          <w:color w:val="1C1C1C"/>
          <w:sz w:val="20"/>
        </w:rPr>
        <w:t>and</w:t>
      </w:r>
      <w:r>
        <w:rPr>
          <w:color w:val="1C1C1C"/>
          <w:spacing w:val="-10"/>
          <w:sz w:val="20"/>
        </w:rPr>
        <w:t> </w:t>
      </w:r>
      <w:r>
        <w:rPr>
          <w:color w:val="1C1C1C"/>
          <w:sz w:val="20"/>
        </w:rPr>
        <w:t>I</w:t>
      </w:r>
      <w:r>
        <w:rPr>
          <w:color w:val="1C1C1C"/>
          <w:spacing w:val="-10"/>
          <w:sz w:val="20"/>
        </w:rPr>
        <w:t> </w:t>
      </w:r>
      <w:r>
        <w:rPr>
          <w:color w:val="1C1C1C"/>
          <w:sz w:val="20"/>
        </w:rPr>
        <w:t>verily</w:t>
      </w:r>
      <w:r>
        <w:rPr>
          <w:color w:val="1C1C1C"/>
          <w:spacing w:val="-10"/>
          <w:sz w:val="20"/>
        </w:rPr>
        <w:t> </w:t>
      </w:r>
      <w:r>
        <w:rPr>
          <w:color w:val="1C1C1C"/>
          <w:sz w:val="20"/>
        </w:rPr>
        <w:t>believe</w:t>
      </w:r>
      <w:r>
        <w:rPr>
          <w:color w:val="1C1C1C"/>
          <w:spacing w:val="-9"/>
          <w:sz w:val="20"/>
        </w:rPr>
        <w:t> </w:t>
      </w:r>
      <w:r>
        <w:rPr>
          <w:color w:val="1C1C1C"/>
          <w:sz w:val="20"/>
        </w:rPr>
        <w:t>that,</w:t>
      </w:r>
      <w:r>
        <w:rPr>
          <w:color w:val="1C1C1C"/>
          <w:spacing w:val="-11"/>
          <w:sz w:val="20"/>
        </w:rPr>
        <w:t> </w:t>
      </w:r>
      <w:r>
        <w:rPr>
          <w:color w:val="1C1C1C"/>
          <w:sz w:val="20"/>
        </w:rPr>
        <w:t>in</w:t>
      </w:r>
      <w:r>
        <w:rPr>
          <w:color w:val="1C1C1C"/>
          <w:spacing w:val="-9"/>
          <w:sz w:val="20"/>
        </w:rPr>
        <w:t> </w:t>
      </w:r>
      <w:r>
        <w:rPr>
          <w:color w:val="1C1C1C"/>
          <w:sz w:val="20"/>
        </w:rPr>
        <w:t>January</w:t>
      </w:r>
      <w:r>
        <w:rPr>
          <w:color w:val="1C1C1C"/>
          <w:spacing w:val="-10"/>
          <w:sz w:val="20"/>
        </w:rPr>
        <w:t> </w:t>
      </w:r>
      <w:r>
        <w:rPr>
          <w:color w:val="1C1C1C"/>
          <w:sz w:val="20"/>
        </w:rPr>
        <w:t>2021,</w:t>
      </w:r>
      <w:r>
        <w:rPr>
          <w:color w:val="1C1C1C"/>
          <w:spacing w:val="-10"/>
          <w:sz w:val="20"/>
        </w:rPr>
        <w:t> </w:t>
      </w:r>
      <w:r>
        <w:rPr>
          <w:color w:val="1C1C1C"/>
          <w:sz w:val="20"/>
        </w:rPr>
        <w:t>the</w:t>
      </w:r>
      <w:r>
        <w:rPr>
          <w:color w:val="1C1C1C"/>
          <w:spacing w:val="-10"/>
          <w:sz w:val="20"/>
        </w:rPr>
        <w:t> </w:t>
      </w:r>
      <w:r>
        <w:rPr>
          <w:color w:val="1C1C1C"/>
          <w:sz w:val="20"/>
        </w:rPr>
        <w:t>new</w:t>
      </w:r>
      <w:r>
        <w:rPr>
          <w:color w:val="1C1C1C"/>
          <w:spacing w:val="-11"/>
          <w:sz w:val="20"/>
        </w:rPr>
        <w:t> </w:t>
      </w:r>
      <w:r>
        <w:rPr>
          <w:color w:val="1C1C1C"/>
          <w:sz w:val="20"/>
        </w:rPr>
        <w:t>GSFC MD</w:t>
      </w:r>
      <w:r>
        <w:rPr>
          <w:color w:val="1C1C1C"/>
          <w:spacing w:val="-5"/>
          <w:sz w:val="20"/>
        </w:rPr>
        <w:t> </w:t>
      </w:r>
      <w:r>
        <w:rPr>
          <w:color w:val="1C1C1C"/>
          <w:sz w:val="20"/>
        </w:rPr>
        <w:t>admitted</w:t>
      </w:r>
      <w:r>
        <w:rPr>
          <w:color w:val="1C1C1C"/>
          <w:spacing w:val="-5"/>
          <w:sz w:val="20"/>
        </w:rPr>
        <w:t> </w:t>
      </w:r>
      <w:r>
        <w:rPr>
          <w:color w:val="1C1C1C"/>
          <w:sz w:val="20"/>
        </w:rPr>
        <w:t>that</w:t>
      </w:r>
      <w:r>
        <w:rPr>
          <w:color w:val="1C1C1C"/>
          <w:spacing w:val="-6"/>
          <w:sz w:val="20"/>
        </w:rPr>
        <w:t> </w:t>
      </w:r>
      <w:r>
        <w:rPr>
          <w:color w:val="1C1C1C"/>
          <w:sz w:val="20"/>
        </w:rPr>
        <w:t>GSFC</w:t>
      </w:r>
      <w:r>
        <w:rPr>
          <w:color w:val="1C1C1C"/>
          <w:spacing w:val="-5"/>
          <w:sz w:val="20"/>
        </w:rPr>
        <w:t> </w:t>
      </w:r>
      <w:r>
        <w:rPr>
          <w:color w:val="1C1C1C"/>
          <w:sz w:val="20"/>
        </w:rPr>
        <w:t>has</w:t>
      </w:r>
      <w:r>
        <w:rPr>
          <w:color w:val="1C1C1C"/>
          <w:spacing w:val="-5"/>
          <w:sz w:val="20"/>
        </w:rPr>
        <w:t> </w:t>
      </w:r>
      <w:r>
        <w:rPr>
          <w:color w:val="1C1C1C"/>
          <w:sz w:val="20"/>
        </w:rPr>
        <w:t>control</w:t>
      </w:r>
      <w:r>
        <w:rPr>
          <w:color w:val="1C1C1C"/>
          <w:spacing w:val="-4"/>
          <w:sz w:val="20"/>
        </w:rPr>
        <w:t> </w:t>
      </w:r>
      <w:r>
        <w:rPr>
          <w:color w:val="1C1C1C"/>
          <w:sz w:val="20"/>
        </w:rPr>
        <w:t>of</w:t>
      </w:r>
      <w:r>
        <w:rPr>
          <w:color w:val="1C1C1C"/>
          <w:spacing w:val="-6"/>
          <w:sz w:val="20"/>
        </w:rPr>
        <w:t> </w:t>
      </w:r>
      <w:r>
        <w:rPr>
          <w:color w:val="1C1C1C"/>
          <w:sz w:val="20"/>
        </w:rPr>
        <w:t>KRN</w:t>
      </w:r>
      <w:r>
        <w:rPr>
          <w:color w:val="1C1C1C"/>
          <w:spacing w:val="-5"/>
          <w:sz w:val="20"/>
        </w:rPr>
        <w:t> </w:t>
      </w:r>
      <w:r>
        <w:rPr>
          <w:color w:val="1C1C1C"/>
          <w:sz w:val="20"/>
        </w:rPr>
        <w:t>and</w:t>
      </w:r>
      <w:r>
        <w:rPr>
          <w:color w:val="1C1C1C"/>
          <w:spacing w:val="-5"/>
          <w:sz w:val="20"/>
        </w:rPr>
        <w:t> </w:t>
      </w:r>
      <w:r>
        <w:rPr>
          <w:color w:val="1C1C1C"/>
          <w:sz w:val="20"/>
        </w:rPr>
        <w:t>the</w:t>
      </w:r>
      <w:r>
        <w:rPr>
          <w:color w:val="1C1C1C"/>
          <w:spacing w:val="-4"/>
          <w:sz w:val="20"/>
        </w:rPr>
        <w:t> </w:t>
      </w:r>
      <w:r>
        <w:rPr>
          <w:color w:val="1C1C1C"/>
          <w:sz w:val="20"/>
        </w:rPr>
        <w:t>KRN</w:t>
      </w:r>
      <w:r>
        <w:rPr>
          <w:color w:val="1C1C1C"/>
          <w:spacing w:val="-5"/>
          <w:sz w:val="20"/>
        </w:rPr>
        <w:t> </w:t>
      </w:r>
      <w:r>
        <w:rPr>
          <w:color w:val="1C1C1C"/>
          <w:sz w:val="20"/>
        </w:rPr>
        <w:t>Board,</w:t>
      </w:r>
      <w:r>
        <w:rPr>
          <w:color w:val="1C1C1C"/>
          <w:spacing w:val="-5"/>
          <w:sz w:val="20"/>
        </w:rPr>
        <w:t> </w:t>
      </w:r>
      <w:r>
        <w:rPr>
          <w:color w:val="1C1C1C"/>
          <w:sz w:val="20"/>
        </w:rPr>
        <w:t>with</w:t>
      </w:r>
      <w:r>
        <w:rPr>
          <w:color w:val="1C1C1C"/>
          <w:spacing w:val="-4"/>
          <w:sz w:val="20"/>
        </w:rPr>
        <w:t> </w:t>
      </w:r>
      <w:r>
        <w:rPr>
          <w:color w:val="1C1C1C"/>
          <w:sz w:val="20"/>
        </w:rPr>
        <w:t>two</w:t>
      </w:r>
      <w:r>
        <w:rPr>
          <w:color w:val="1C1C1C"/>
          <w:spacing w:val="-6"/>
          <w:sz w:val="20"/>
        </w:rPr>
        <w:t> </w:t>
      </w:r>
      <w:r>
        <w:rPr>
          <w:color w:val="1C1C1C"/>
          <w:sz w:val="20"/>
        </w:rPr>
        <w:t>(2)</w:t>
      </w:r>
      <w:r>
        <w:rPr>
          <w:color w:val="1C1C1C"/>
          <w:spacing w:val="-4"/>
          <w:sz w:val="20"/>
        </w:rPr>
        <w:t> </w:t>
      </w:r>
      <w:r>
        <w:rPr>
          <w:color w:val="1C1C1C"/>
          <w:sz w:val="20"/>
        </w:rPr>
        <w:t>of</w:t>
      </w:r>
      <w:r>
        <w:rPr>
          <w:color w:val="1C1C1C"/>
          <w:spacing w:val="-6"/>
          <w:sz w:val="20"/>
        </w:rPr>
        <w:t> </w:t>
      </w:r>
      <w:r>
        <w:rPr>
          <w:color w:val="1C1C1C"/>
          <w:sz w:val="20"/>
        </w:rPr>
        <w:t>the</w:t>
      </w:r>
      <w:r>
        <w:rPr>
          <w:color w:val="1C1C1C"/>
          <w:spacing w:val="-4"/>
          <w:sz w:val="20"/>
        </w:rPr>
        <w:t> </w:t>
      </w:r>
      <w:r>
        <w:rPr>
          <w:color w:val="1C1C1C"/>
          <w:sz w:val="20"/>
        </w:rPr>
        <w:t>three(3)</w:t>
      </w:r>
      <w:r>
        <w:rPr>
          <w:color w:val="1C1C1C"/>
          <w:spacing w:val="-6"/>
          <w:sz w:val="20"/>
        </w:rPr>
        <w:t> </w:t>
      </w:r>
      <w:r>
        <w:rPr>
          <w:color w:val="1C1C1C"/>
          <w:sz w:val="20"/>
        </w:rPr>
        <w:t>seats, and was in no hurry to do anything to change the status quo or give up control of the KRN</w:t>
      </w:r>
      <w:r>
        <w:rPr>
          <w:color w:val="1C1C1C"/>
          <w:spacing w:val="-31"/>
          <w:sz w:val="20"/>
        </w:rPr>
        <w:t> </w:t>
      </w:r>
      <w:r>
        <w:rPr>
          <w:color w:val="1C1C1C"/>
          <w:sz w:val="20"/>
        </w:rPr>
        <w:t>Board.</w:t>
      </w:r>
    </w:p>
    <w:p>
      <w:pPr>
        <w:pStyle w:val="BodyText"/>
        <w:spacing w:before="10"/>
      </w:pPr>
    </w:p>
    <w:p>
      <w:pPr>
        <w:pStyle w:val="ListParagraph"/>
        <w:numPr>
          <w:ilvl w:val="0"/>
          <w:numId w:val="1"/>
        </w:numPr>
        <w:tabs>
          <w:tab w:pos="841" w:val="left" w:leader="none"/>
        </w:tabs>
        <w:spacing w:line="360" w:lineRule="auto" w:before="0" w:after="0"/>
        <w:ind w:left="840" w:right="1155" w:hanging="721"/>
        <w:jc w:val="both"/>
        <w:rPr>
          <w:color w:val="1C1C1C"/>
          <w:sz w:val="20"/>
        </w:rPr>
      </w:pPr>
      <w:r>
        <w:rPr>
          <w:color w:val="1C1C1C"/>
          <w:sz w:val="20"/>
        </w:rPr>
        <w:t>I</w:t>
      </w:r>
      <w:r>
        <w:rPr>
          <w:color w:val="1C1C1C"/>
          <w:spacing w:val="-7"/>
          <w:sz w:val="20"/>
        </w:rPr>
        <w:t> </w:t>
      </w:r>
      <w:r>
        <w:rPr>
          <w:color w:val="1C1C1C"/>
          <w:sz w:val="20"/>
        </w:rPr>
        <w:t>verily</w:t>
      </w:r>
      <w:r>
        <w:rPr>
          <w:color w:val="1C1C1C"/>
          <w:spacing w:val="-5"/>
          <w:sz w:val="20"/>
        </w:rPr>
        <w:t> </w:t>
      </w:r>
      <w:r>
        <w:rPr>
          <w:color w:val="1C1C1C"/>
          <w:sz w:val="20"/>
        </w:rPr>
        <w:t>believe</w:t>
      </w:r>
      <w:r>
        <w:rPr>
          <w:color w:val="1C1C1C"/>
          <w:spacing w:val="-6"/>
          <w:sz w:val="20"/>
        </w:rPr>
        <w:t> </w:t>
      </w:r>
      <w:r>
        <w:rPr>
          <w:color w:val="1C1C1C"/>
          <w:sz w:val="20"/>
        </w:rPr>
        <w:t>that,</w:t>
      </w:r>
      <w:r>
        <w:rPr>
          <w:color w:val="1C1C1C"/>
          <w:spacing w:val="-6"/>
          <w:sz w:val="20"/>
        </w:rPr>
        <w:t> </w:t>
      </w:r>
      <w:r>
        <w:rPr>
          <w:color w:val="1C1C1C"/>
          <w:sz w:val="20"/>
        </w:rPr>
        <w:t>based</w:t>
      </w:r>
      <w:r>
        <w:rPr>
          <w:color w:val="1C1C1C"/>
          <w:spacing w:val="-6"/>
          <w:sz w:val="20"/>
        </w:rPr>
        <w:t> </w:t>
      </w:r>
      <w:r>
        <w:rPr>
          <w:color w:val="1C1C1C"/>
          <w:sz w:val="20"/>
        </w:rPr>
        <w:t>on</w:t>
      </w:r>
      <w:r>
        <w:rPr>
          <w:color w:val="1C1C1C"/>
          <w:spacing w:val="-5"/>
          <w:sz w:val="20"/>
        </w:rPr>
        <w:t> </w:t>
      </w:r>
      <w:r>
        <w:rPr>
          <w:color w:val="1C1C1C"/>
          <w:sz w:val="20"/>
        </w:rPr>
        <w:t>the</w:t>
      </w:r>
      <w:r>
        <w:rPr>
          <w:color w:val="1C1C1C"/>
          <w:spacing w:val="-6"/>
          <w:sz w:val="20"/>
        </w:rPr>
        <w:t> </w:t>
      </w:r>
      <w:r>
        <w:rPr>
          <w:color w:val="1C1C1C"/>
          <w:sz w:val="20"/>
        </w:rPr>
        <w:t>GSFC</w:t>
      </w:r>
      <w:r>
        <w:rPr>
          <w:color w:val="1C1C1C"/>
          <w:spacing w:val="-5"/>
          <w:sz w:val="20"/>
        </w:rPr>
        <w:t> </w:t>
      </w:r>
      <w:r>
        <w:rPr>
          <w:color w:val="1C1C1C"/>
          <w:sz w:val="20"/>
        </w:rPr>
        <w:t>MD’s</w:t>
      </w:r>
      <w:r>
        <w:rPr>
          <w:color w:val="1C1C1C"/>
          <w:spacing w:val="-7"/>
          <w:sz w:val="20"/>
        </w:rPr>
        <w:t> </w:t>
      </w:r>
      <w:r>
        <w:rPr>
          <w:color w:val="1C1C1C"/>
          <w:sz w:val="20"/>
        </w:rPr>
        <w:t>statement,</w:t>
      </w:r>
      <w:r>
        <w:rPr>
          <w:color w:val="1C1C1C"/>
          <w:spacing w:val="-6"/>
          <w:sz w:val="20"/>
        </w:rPr>
        <w:t> </w:t>
      </w:r>
      <w:r>
        <w:rPr>
          <w:color w:val="1C1C1C"/>
          <w:sz w:val="20"/>
        </w:rPr>
        <w:t>the</w:t>
      </w:r>
      <w:r>
        <w:rPr>
          <w:color w:val="1C1C1C"/>
          <w:spacing w:val="-6"/>
          <w:sz w:val="20"/>
        </w:rPr>
        <w:t> </w:t>
      </w:r>
      <w:r>
        <w:rPr>
          <w:color w:val="1C1C1C"/>
          <w:sz w:val="20"/>
        </w:rPr>
        <w:t>GSFC</w:t>
      </w:r>
      <w:r>
        <w:rPr>
          <w:color w:val="1C1C1C"/>
          <w:spacing w:val="-5"/>
          <w:sz w:val="20"/>
        </w:rPr>
        <w:t> </w:t>
      </w:r>
      <w:r>
        <w:rPr>
          <w:color w:val="1C1C1C"/>
          <w:sz w:val="20"/>
        </w:rPr>
        <w:t>MD</w:t>
      </w:r>
      <w:r>
        <w:rPr>
          <w:color w:val="1C1C1C"/>
          <w:spacing w:val="-6"/>
          <w:sz w:val="20"/>
        </w:rPr>
        <w:t> </w:t>
      </w:r>
      <w:r>
        <w:rPr>
          <w:color w:val="1C1C1C"/>
          <w:sz w:val="20"/>
        </w:rPr>
        <w:t>expects</w:t>
      </w:r>
      <w:r>
        <w:rPr>
          <w:color w:val="1C1C1C"/>
          <w:spacing w:val="-5"/>
          <w:sz w:val="20"/>
        </w:rPr>
        <w:t> </w:t>
      </w:r>
      <w:r>
        <w:rPr>
          <w:color w:val="1C1C1C"/>
          <w:sz w:val="20"/>
        </w:rPr>
        <w:t>the</w:t>
      </w:r>
      <w:r>
        <w:rPr>
          <w:color w:val="1C1C1C"/>
          <w:spacing w:val="-5"/>
          <w:sz w:val="20"/>
        </w:rPr>
        <w:t> </w:t>
      </w:r>
      <w:r>
        <w:rPr>
          <w:color w:val="1C1C1C"/>
          <w:sz w:val="20"/>
        </w:rPr>
        <w:t>two</w:t>
      </w:r>
      <w:r>
        <w:rPr>
          <w:color w:val="1C1C1C"/>
          <w:spacing w:val="-6"/>
          <w:sz w:val="20"/>
        </w:rPr>
        <w:t> </w:t>
      </w:r>
      <w:r>
        <w:rPr>
          <w:color w:val="1C1C1C"/>
          <w:sz w:val="20"/>
        </w:rPr>
        <w:t>(2)</w:t>
      </w:r>
      <w:r>
        <w:rPr>
          <w:color w:val="1C1C1C"/>
          <w:spacing w:val="-5"/>
          <w:sz w:val="20"/>
        </w:rPr>
        <w:t> </w:t>
      </w:r>
      <w:r>
        <w:rPr>
          <w:color w:val="1C1C1C"/>
          <w:sz w:val="20"/>
        </w:rPr>
        <w:t>GSFC Nominees on the KRN Board, being Nanavaty and Anjaria, to do as he says and instructs, otherwise, why would the GSFC MD make such a definitive statement regarding GSFC having control of KRN and the KRN</w:t>
      </w:r>
      <w:r>
        <w:rPr>
          <w:color w:val="1C1C1C"/>
          <w:spacing w:val="-5"/>
          <w:sz w:val="20"/>
        </w:rPr>
        <w:t> </w:t>
      </w:r>
      <w:r>
        <w:rPr>
          <w:color w:val="1C1C1C"/>
          <w:sz w:val="20"/>
        </w:rPr>
        <w:t>Board.</w:t>
      </w:r>
    </w:p>
    <w:p>
      <w:pPr>
        <w:pStyle w:val="BodyText"/>
        <w:spacing w:before="10"/>
      </w:pPr>
    </w:p>
    <w:p>
      <w:pPr>
        <w:pStyle w:val="ListParagraph"/>
        <w:numPr>
          <w:ilvl w:val="0"/>
          <w:numId w:val="1"/>
        </w:numPr>
        <w:tabs>
          <w:tab w:pos="841" w:val="left" w:leader="none"/>
        </w:tabs>
        <w:spacing w:line="360" w:lineRule="auto" w:before="0" w:after="0"/>
        <w:ind w:left="840" w:right="1157" w:hanging="721"/>
        <w:jc w:val="both"/>
        <w:rPr>
          <w:color w:val="1C1C1C"/>
          <w:sz w:val="20"/>
        </w:rPr>
      </w:pPr>
      <w:r>
        <w:rPr>
          <w:color w:val="1C1C1C"/>
          <w:sz w:val="20"/>
        </w:rPr>
        <w:t>I verily believe that the admission of the GSFC MD regarding GSFC having control of the KRN Board</w:t>
      </w:r>
      <w:r>
        <w:rPr>
          <w:color w:val="1C1C1C"/>
          <w:spacing w:val="-6"/>
          <w:sz w:val="20"/>
        </w:rPr>
        <w:t> </w:t>
      </w:r>
      <w:r>
        <w:rPr>
          <w:color w:val="1C1C1C"/>
          <w:sz w:val="20"/>
        </w:rPr>
        <w:t>is</w:t>
      </w:r>
      <w:r>
        <w:rPr>
          <w:color w:val="1C1C1C"/>
          <w:spacing w:val="-6"/>
          <w:sz w:val="20"/>
        </w:rPr>
        <w:t> </w:t>
      </w:r>
      <w:r>
        <w:rPr>
          <w:color w:val="1C1C1C"/>
          <w:sz w:val="20"/>
        </w:rPr>
        <w:t>consistent</w:t>
      </w:r>
      <w:r>
        <w:rPr>
          <w:color w:val="1C1C1C"/>
          <w:spacing w:val="-6"/>
          <w:sz w:val="20"/>
        </w:rPr>
        <w:t> </w:t>
      </w:r>
      <w:r>
        <w:rPr>
          <w:color w:val="1C1C1C"/>
          <w:sz w:val="20"/>
        </w:rPr>
        <w:t>with</w:t>
      </w:r>
      <w:r>
        <w:rPr>
          <w:color w:val="1C1C1C"/>
          <w:spacing w:val="-5"/>
          <w:sz w:val="20"/>
        </w:rPr>
        <w:t> </w:t>
      </w:r>
      <w:r>
        <w:rPr>
          <w:color w:val="1C1C1C"/>
          <w:sz w:val="20"/>
        </w:rPr>
        <w:t>the</w:t>
      </w:r>
      <w:r>
        <w:rPr>
          <w:color w:val="1C1C1C"/>
          <w:spacing w:val="-6"/>
          <w:sz w:val="20"/>
        </w:rPr>
        <w:t> </w:t>
      </w:r>
      <w:r>
        <w:rPr>
          <w:color w:val="1C1C1C"/>
          <w:sz w:val="20"/>
        </w:rPr>
        <w:t>actions</w:t>
      </w:r>
      <w:r>
        <w:rPr>
          <w:color w:val="1C1C1C"/>
          <w:spacing w:val="-5"/>
          <w:sz w:val="20"/>
        </w:rPr>
        <w:t> </w:t>
      </w:r>
      <w:r>
        <w:rPr>
          <w:color w:val="1C1C1C"/>
          <w:sz w:val="20"/>
        </w:rPr>
        <w:t>of</w:t>
      </w:r>
      <w:r>
        <w:rPr>
          <w:color w:val="1C1C1C"/>
          <w:spacing w:val="-7"/>
          <w:sz w:val="20"/>
        </w:rPr>
        <w:t> </w:t>
      </w:r>
      <w:r>
        <w:rPr>
          <w:color w:val="1C1C1C"/>
          <w:sz w:val="20"/>
        </w:rPr>
        <w:t>GSFC,</w:t>
      </w:r>
      <w:r>
        <w:rPr>
          <w:color w:val="1C1C1C"/>
          <w:spacing w:val="-6"/>
          <w:sz w:val="20"/>
        </w:rPr>
        <w:t> </w:t>
      </w:r>
      <w:r>
        <w:rPr>
          <w:color w:val="1C1C1C"/>
          <w:sz w:val="20"/>
        </w:rPr>
        <w:t>and</w:t>
      </w:r>
      <w:r>
        <w:rPr>
          <w:color w:val="1C1C1C"/>
          <w:spacing w:val="-5"/>
          <w:sz w:val="20"/>
        </w:rPr>
        <w:t> </w:t>
      </w:r>
      <w:r>
        <w:rPr>
          <w:color w:val="1C1C1C"/>
          <w:sz w:val="20"/>
        </w:rPr>
        <w:t>the</w:t>
      </w:r>
      <w:r>
        <w:rPr>
          <w:color w:val="1C1C1C"/>
          <w:spacing w:val="-5"/>
          <w:sz w:val="20"/>
        </w:rPr>
        <w:t> </w:t>
      </w:r>
      <w:r>
        <w:rPr>
          <w:color w:val="1C1C1C"/>
          <w:sz w:val="20"/>
        </w:rPr>
        <w:t>GSFC</w:t>
      </w:r>
      <w:r>
        <w:rPr>
          <w:color w:val="1C1C1C"/>
          <w:spacing w:val="-5"/>
          <w:sz w:val="20"/>
        </w:rPr>
        <w:t> </w:t>
      </w:r>
      <w:r>
        <w:rPr>
          <w:color w:val="1C1C1C"/>
          <w:sz w:val="20"/>
        </w:rPr>
        <w:t>Nominees,</w:t>
      </w:r>
      <w:r>
        <w:rPr>
          <w:color w:val="1C1C1C"/>
          <w:spacing w:val="-6"/>
          <w:sz w:val="20"/>
        </w:rPr>
        <w:t> </w:t>
      </w:r>
      <w:r>
        <w:rPr>
          <w:color w:val="1C1C1C"/>
          <w:sz w:val="20"/>
        </w:rPr>
        <w:t>since</w:t>
      </w:r>
      <w:r>
        <w:rPr>
          <w:color w:val="1C1C1C"/>
          <w:spacing w:val="-6"/>
          <w:sz w:val="20"/>
        </w:rPr>
        <w:t> </w:t>
      </w:r>
      <w:r>
        <w:rPr>
          <w:color w:val="1C1C1C"/>
          <w:sz w:val="20"/>
        </w:rPr>
        <w:t>January</w:t>
      </w:r>
      <w:r>
        <w:rPr>
          <w:color w:val="1C1C1C"/>
          <w:spacing w:val="-6"/>
          <w:sz w:val="20"/>
        </w:rPr>
        <w:t> </w:t>
      </w:r>
      <w:r>
        <w:rPr>
          <w:color w:val="1C1C1C"/>
          <w:sz w:val="20"/>
        </w:rPr>
        <w:t>16,</w:t>
      </w:r>
      <w:r>
        <w:rPr>
          <w:color w:val="1C1C1C"/>
          <w:spacing w:val="-6"/>
          <w:sz w:val="20"/>
        </w:rPr>
        <w:t> </w:t>
      </w:r>
      <w:r>
        <w:rPr>
          <w:color w:val="1C1C1C"/>
          <w:sz w:val="20"/>
        </w:rPr>
        <w:t>2019</w:t>
      </w:r>
      <w:r>
        <w:rPr>
          <w:color w:val="1C1C1C"/>
          <w:spacing w:val="-5"/>
          <w:sz w:val="20"/>
        </w:rPr>
        <w:t> </w:t>
      </w:r>
      <w:r>
        <w:rPr>
          <w:color w:val="1C1C1C"/>
          <w:sz w:val="20"/>
        </w:rPr>
        <w:t>in maintaining control of the KRN Board and running KRN like GSFC’s private</w:t>
      </w:r>
      <w:r>
        <w:rPr>
          <w:color w:val="1C1C1C"/>
          <w:spacing w:val="-20"/>
          <w:sz w:val="20"/>
        </w:rPr>
        <w:t> </w:t>
      </w:r>
      <w:r>
        <w:rPr>
          <w:color w:val="1C1C1C"/>
          <w:sz w:val="20"/>
        </w:rPr>
        <w:t>company.</w:t>
      </w:r>
    </w:p>
    <w:p>
      <w:pPr>
        <w:pStyle w:val="BodyText"/>
        <w:spacing w:before="10"/>
      </w:pPr>
    </w:p>
    <w:p>
      <w:pPr>
        <w:pStyle w:val="ListParagraph"/>
        <w:numPr>
          <w:ilvl w:val="0"/>
          <w:numId w:val="1"/>
        </w:numPr>
        <w:tabs>
          <w:tab w:pos="841" w:val="left" w:leader="none"/>
        </w:tabs>
        <w:spacing w:line="360" w:lineRule="auto" w:before="0" w:after="0"/>
        <w:ind w:left="840" w:right="1156" w:hanging="721"/>
        <w:jc w:val="both"/>
        <w:rPr>
          <w:color w:val="1C1C1C"/>
          <w:sz w:val="20"/>
        </w:rPr>
      </w:pPr>
      <w:r>
        <w:rPr>
          <w:color w:val="1C1C1C"/>
          <w:sz w:val="20"/>
        </w:rPr>
        <w:t>I verily believe that GSFC, and the GSFC Nominees, do not care at all about the other 62% of the shareholders</w:t>
      </w:r>
      <w:r>
        <w:rPr>
          <w:color w:val="1C1C1C"/>
          <w:spacing w:val="-7"/>
          <w:sz w:val="20"/>
        </w:rPr>
        <w:t> </w:t>
      </w:r>
      <w:r>
        <w:rPr>
          <w:color w:val="1C1C1C"/>
          <w:sz w:val="20"/>
        </w:rPr>
        <w:t>of</w:t>
      </w:r>
      <w:r>
        <w:rPr>
          <w:color w:val="1C1C1C"/>
          <w:spacing w:val="-6"/>
          <w:sz w:val="20"/>
        </w:rPr>
        <w:t> </w:t>
      </w:r>
      <w:r>
        <w:rPr>
          <w:color w:val="1C1C1C"/>
          <w:sz w:val="20"/>
        </w:rPr>
        <w:t>KRN,</w:t>
      </w:r>
      <w:r>
        <w:rPr>
          <w:color w:val="1C1C1C"/>
          <w:spacing w:val="-6"/>
          <w:sz w:val="20"/>
        </w:rPr>
        <w:t> </w:t>
      </w:r>
      <w:r>
        <w:rPr>
          <w:color w:val="1C1C1C"/>
          <w:sz w:val="20"/>
        </w:rPr>
        <w:t>and</w:t>
      </w:r>
      <w:r>
        <w:rPr>
          <w:color w:val="1C1C1C"/>
          <w:spacing w:val="-5"/>
          <w:sz w:val="20"/>
        </w:rPr>
        <w:t> </w:t>
      </w:r>
      <w:r>
        <w:rPr>
          <w:color w:val="1C1C1C"/>
          <w:sz w:val="20"/>
        </w:rPr>
        <w:t>will</w:t>
      </w:r>
      <w:r>
        <w:rPr>
          <w:color w:val="1C1C1C"/>
          <w:spacing w:val="-6"/>
          <w:sz w:val="20"/>
        </w:rPr>
        <w:t> </w:t>
      </w:r>
      <w:r>
        <w:rPr>
          <w:color w:val="1C1C1C"/>
          <w:sz w:val="20"/>
        </w:rPr>
        <w:t>continue</w:t>
      </w:r>
      <w:r>
        <w:rPr>
          <w:color w:val="1C1C1C"/>
          <w:spacing w:val="-6"/>
          <w:sz w:val="20"/>
        </w:rPr>
        <w:t> </w:t>
      </w:r>
      <w:r>
        <w:rPr>
          <w:color w:val="1C1C1C"/>
          <w:sz w:val="20"/>
        </w:rPr>
        <w:t>to</w:t>
      </w:r>
      <w:r>
        <w:rPr>
          <w:color w:val="1C1C1C"/>
          <w:spacing w:val="-5"/>
          <w:sz w:val="20"/>
        </w:rPr>
        <w:t> </w:t>
      </w:r>
      <w:r>
        <w:rPr>
          <w:color w:val="1C1C1C"/>
          <w:sz w:val="20"/>
        </w:rPr>
        <w:t>oppress</w:t>
      </w:r>
      <w:r>
        <w:rPr>
          <w:color w:val="1C1C1C"/>
          <w:spacing w:val="-5"/>
          <w:sz w:val="20"/>
        </w:rPr>
        <w:t> </w:t>
      </w:r>
      <w:r>
        <w:rPr>
          <w:color w:val="1C1C1C"/>
          <w:sz w:val="20"/>
        </w:rPr>
        <w:t>the</w:t>
      </w:r>
      <w:r>
        <w:rPr>
          <w:color w:val="1C1C1C"/>
          <w:spacing w:val="-6"/>
          <w:sz w:val="20"/>
        </w:rPr>
        <w:t> </w:t>
      </w:r>
      <w:r>
        <w:rPr>
          <w:color w:val="1C1C1C"/>
          <w:sz w:val="20"/>
        </w:rPr>
        <w:t>majority</w:t>
      </w:r>
      <w:r>
        <w:rPr>
          <w:color w:val="1C1C1C"/>
          <w:spacing w:val="-5"/>
          <w:sz w:val="20"/>
        </w:rPr>
        <w:t> </w:t>
      </w:r>
      <w:r>
        <w:rPr>
          <w:color w:val="1C1C1C"/>
          <w:sz w:val="20"/>
        </w:rPr>
        <w:t>of</w:t>
      </w:r>
      <w:r>
        <w:rPr>
          <w:color w:val="1C1C1C"/>
          <w:spacing w:val="-6"/>
          <w:sz w:val="20"/>
        </w:rPr>
        <w:t> </w:t>
      </w:r>
      <w:r>
        <w:rPr>
          <w:color w:val="1C1C1C"/>
          <w:sz w:val="20"/>
        </w:rPr>
        <w:t>the</w:t>
      </w:r>
      <w:r>
        <w:rPr>
          <w:color w:val="1C1C1C"/>
          <w:spacing w:val="-6"/>
          <w:sz w:val="20"/>
        </w:rPr>
        <w:t> </w:t>
      </w:r>
      <w:r>
        <w:rPr>
          <w:color w:val="1C1C1C"/>
          <w:sz w:val="20"/>
        </w:rPr>
        <w:t>shareholders</w:t>
      </w:r>
      <w:r>
        <w:rPr>
          <w:color w:val="1C1C1C"/>
          <w:spacing w:val="-5"/>
          <w:sz w:val="20"/>
        </w:rPr>
        <w:t> </w:t>
      </w:r>
      <w:r>
        <w:rPr>
          <w:color w:val="1C1C1C"/>
          <w:sz w:val="20"/>
        </w:rPr>
        <w:t>of</w:t>
      </w:r>
      <w:r>
        <w:rPr>
          <w:color w:val="1C1C1C"/>
          <w:spacing w:val="-6"/>
          <w:sz w:val="20"/>
        </w:rPr>
        <w:t> </w:t>
      </w:r>
      <w:r>
        <w:rPr>
          <w:color w:val="1C1C1C"/>
          <w:sz w:val="20"/>
        </w:rPr>
        <w:t>KRN</w:t>
      </w:r>
      <w:r>
        <w:rPr>
          <w:color w:val="1C1C1C"/>
          <w:spacing w:val="-5"/>
          <w:sz w:val="20"/>
        </w:rPr>
        <w:t> </w:t>
      </w:r>
      <w:r>
        <w:rPr>
          <w:color w:val="1C1C1C"/>
          <w:sz w:val="20"/>
        </w:rPr>
        <w:t>as</w:t>
      </w:r>
      <w:r>
        <w:rPr>
          <w:color w:val="1C1C1C"/>
          <w:spacing w:val="-5"/>
          <w:sz w:val="20"/>
        </w:rPr>
        <w:t> </w:t>
      </w:r>
      <w:r>
        <w:rPr>
          <w:color w:val="1C1C1C"/>
          <w:sz w:val="20"/>
        </w:rPr>
        <w:t>long as they maintain control of KRN and the KRN</w:t>
      </w:r>
      <w:r>
        <w:rPr>
          <w:color w:val="1C1C1C"/>
          <w:spacing w:val="-7"/>
          <w:sz w:val="20"/>
        </w:rPr>
        <w:t> </w:t>
      </w:r>
      <w:r>
        <w:rPr>
          <w:color w:val="1C1C1C"/>
          <w:sz w:val="20"/>
        </w:rPr>
        <w:t>Board.</w:t>
      </w:r>
    </w:p>
    <w:p>
      <w:pPr>
        <w:pStyle w:val="BodyText"/>
        <w:spacing w:before="11"/>
      </w:pPr>
    </w:p>
    <w:p>
      <w:pPr>
        <w:pStyle w:val="ListParagraph"/>
        <w:numPr>
          <w:ilvl w:val="0"/>
          <w:numId w:val="1"/>
        </w:numPr>
        <w:tabs>
          <w:tab w:pos="841" w:val="left" w:leader="none"/>
        </w:tabs>
        <w:spacing w:line="360" w:lineRule="auto" w:before="0" w:after="0"/>
        <w:ind w:left="840" w:right="1156" w:hanging="721"/>
        <w:jc w:val="both"/>
        <w:rPr>
          <w:color w:val="1C1C1C"/>
          <w:sz w:val="20"/>
        </w:rPr>
      </w:pPr>
      <w:r>
        <w:rPr>
          <w:color w:val="1C1C1C"/>
          <w:sz w:val="20"/>
        </w:rPr>
        <w:t>I verily believe that the conduct of GSFC, the GSFC Nominees, and the KRN Board in proceeding with the Special</w:t>
      </w:r>
      <w:r>
        <w:rPr>
          <w:color w:val="1C1C1C"/>
          <w:spacing w:val="-4"/>
          <w:sz w:val="20"/>
        </w:rPr>
        <w:t> </w:t>
      </w:r>
      <w:r>
        <w:rPr>
          <w:color w:val="1C1C1C"/>
          <w:sz w:val="20"/>
        </w:rPr>
        <w:t>Meeting:</w:t>
      </w:r>
    </w:p>
    <w:p>
      <w:pPr>
        <w:spacing w:after="0" w:line="360" w:lineRule="auto"/>
        <w:jc w:val="both"/>
        <w:rPr>
          <w:sz w:val="20"/>
        </w:rPr>
        <w:sectPr>
          <w:pgSz w:w="12240" w:h="15840"/>
          <w:pgMar w:header="0" w:footer="1259" w:top="1220" w:bottom="1440" w:left="1320" w:right="280"/>
        </w:sectPr>
      </w:pPr>
    </w:p>
    <w:p>
      <w:pPr>
        <w:pStyle w:val="ListParagraph"/>
        <w:numPr>
          <w:ilvl w:val="1"/>
          <w:numId w:val="1"/>
        </w:numPr>
        <w:tabs>
          <w:tab w:pos="1559" w:val="left" w:leader="none"/>
          <w:tab w:pos="1561" w:val="left" w:leader="none"/>
        </w:tabs>
        <w:spacing w:line="240" w:lineRule="auto" w:before="76" w:after="0"/>
        <w:ind w:left="1560" w:right="0" w:hanging="721"/>
        <w:jc w:val="left"/>
        <w:rPr>
          <w:rFonts w:ascii="Symbol" w:hAnsi="Symbol"/>
          <w:sz w:val="20"/>
        </w:rPr>
      </w:pPr>
      <w:r>
        <w:rPr/>
        <w:drawing>
          <wp:anchor distT="0" distB="0" distL="0" distR="0" allowOverlap="1" layoutInCell="1" locked="0" behindDoc="0" simplePos="0" relativeHeight="251702272">
            <wp:simplePos x="0" y="0"/>
            <wp:positionH relativeFrom="page">
              <wp:posOffset>6774535</wp:posOffset>
            </wp:positionH>
            <wp:positionV relativeFrom="page">
              <wp:posOffset>9304351</wp:posOffset>
            </wp:positionV>
            <wp:extent cx="547560" cy="555707"/>
            <wp:effectExtent l="0" t="0" r="0" b="0"/>
            <wp:wrapNone/>
            <wp:docPr id="73" name="image4.png"/>
            <wp:cNvGraphicFramePr>
              <a:graphicFrameLocks noChangeAspect="1"/>
            </wp:cNvGraphicFramePr>
            <a:graphic>
              <a:graphicData uri="http://schemas.openxmlformats.org/drawingml/2006/picture">
                <pic:pic>
                  <pic:nvPicPr>
                    <pic:cNvPr id="74" name="image4.png"/>
                    <pic:cNvPicPr/>
                  </pic:nvPicPr>
                  <pic:blipFill>
                    <a:blip r:embed="rId9" cstate="print"/>
                    <a:stretch>
                      <a:fillRect/>
                    </a:stretch>
                  </pic:blipFill>
                  <pic:spPr>
                    <a:xfrm>
                      <a:off x="0" y="0"/>
                      <a:ext cx="547560" cy="555707"/>
                    </a:xfrm>
                    <a:prstGeom prst="rect">
                      <a:avLst/>
                    </a:prstGeom>
                  </pic:spPr>
                </pic:pic>
              </a:graphicData>
            </a:graphic>
          </wp:anchor>
        </w:drawing>
      </w:r>
      <w:r>
        <w:rPr/>
        <w:drawing>
          <wp:anchor distT="0" distB="0" distL="0" distR="0" allowOverlap="1" layoutInCell="1" locked="0" behindDoc="0" simplePos="0" relativeHeight="251703296">
            <wp:simplePos x="0" y="0"/>
            <wp:positionH relativeFrom="page">
              <wp:posOffset>5709564</wp:posOffset>
            </wp:positionH>
            <wp:positionV relativeFrom="page">
              <wp:posOffset>9304351</wp:posOffset>
            </wp:positionV>
            <wp:extent cx="876722" cy="555707"/>
            <wp:effectExtent l="0" t="0" r="0" b="0"/>
            <wp:wrapNone/>
            <wp:docPr id="75" name="image5.png"/>
            <wp:cNvGraphicFramePr>
              <a:graphicFrameLocks noChangeAspect="1"/>
            </wp:cNvGraphicFramePr>
            <a:graphic>
              <a:graphicData uri="http://schemas.openxmlformats.org/drawingml/2006/picture">
                <pic:pic>
                  <pic:nvPicPr>
                    <pic:cNvPr id="76" name="image5.png"/>
                    <pic:cNvPicPr/>
                  </pic:nvPicPr>
                  <pic:blipFill>
                    <a:blip r:embed="rId10" cstate="print"/>
                    <a:stretch>
                      <a:fillRect/>
                    </a:stretch>
                  </pic:blipFill>
                  <pic:spPr>
                    <a:xfrm>
                      <a:off x="0" y="0"/>
                      <a:ext cx="876722" cy="555707"/>
                    </a:xfrm>
                    <a:prstGeom prst="rect">
                      <a:avLst/>
                    </a:prstGeom>
                  </pic:spPr>
                </pic:pic>
              </a:graphicData>
            </a:graphic>
          </wp:anchor>
        </w:drawing>
      </w:r>
      <w:r>
        <w:rPr>
          <w:color w:val="1C1C1C"/>
          <w:sz w:val="20"/>
        </w:rPr>
        <w:t>is just the most recent evidence</w:t>
      </w:r>
      <w:r>
        <w:rPr>
          <w:color w:val="1C1C1C"/>
          <w:spacing w:val="-6"/>
          <w:sz w:val="20"/>
        </w:rPr>
        <w:t> </w:t>
      </w:r>
      <w:r>
        <w:rPr>
          <w:color w:val="1C1C1C"/>
          <w:sz w:val="20"/>
        </w:rPr>
        <w:t>of:</w:t>
      </w:r>
    </w:p>
    <w:p>
      <w:pPr>
        <w:pStyle w:val="BodyText"/>
        <w:rPr>
          <w:sz w:val="24"/>
        </w:rPr>
      </w:pPr>
    </w:p>
    <w:p>
      <w:pPr>
        <w:pStyle w:val="ListParagraph"/>
        <w:numPr>
          <w:ilvl w:val="2"/>
          <w:numId w:val="1"/>
        </w:numPr>
        <w:tabs>
          <w:tab w:pos="2279" w:val="left" w:leader="none"/>
          <w:tab w:pos="2281" w:val="left" w:leader="none"/>
        </w:tabs>
        <w:spacing w:line="240" w:lineRule="auto" w:before="182" w:after="0"/>
        <w:ind w:left="2280" w:right="0" w:hanging="721"/>
        <w:jc w:val="left"/>
        <w:rPr>
          <w:sz w:val="20"/>
        </w:rPr>
      </w:pPr>
      <w:r>
        <w:rPr>
          <w:color w:val="1C1C1C"/>
          <w:sz w:val="20"/>
        </w:rPr>
        <w:t>bad faith on the part of GSFC and the GSFC</w:t>
      </w:r>
      <w:r>
        <w:rPr>
          <w:color w:val="1C1C1C"/>
          <w:spacing w:val="-11"/>
          <w:sz w:val="20"/>
        </w:rPr>
        <w:t> </w:t>
      </w:r>
      <w:r>
        <w:rPr>
          <w:color w:val="1C1C1C"/>
          <w:sz w:val="20"/>
        </w:rPr>
        <w:t>Nominees;</w:t>
      </w:r>
    </w:p>
    <w:p>
      <w:pPr>
        <w:pStyle w:val="BodyText"/>
        <w:rPr>
          <w:sz w:val="30"/>
        </w:rPr>
      </w:pPr>
    </w:p>
    <w:p>
      <w:pPr>
        <w:pStyle w:val="ListParagraph"/>
        <w:numPr>
          <w:ilvl w:val="2"/>
          <w:numId w:val="1"/>
        </w:numPr>
        <w:tabs>
          <w:tab w:pos="2279" w:val="left" w:leader="none"/>
          <w:tab w:pos="2281" w:val="left" w:leader="none"/>
        </w:tabs>
        <w:spacing w:line="240" w:lineRule="auto" w:before="0" w:after="0"/>
        <w:ind w:left="2280" w:right="0" w:hanging="721"/>
        <w:jc w:val="left"/>
        <w:rPr>
          <w:sz w:val="20"/>
        </w:rPr>
      </w:pPr>
      <w:r>
        <w:rPr>
          <w:color w:val="1C1C1C"/>
          <w:sz w:val="20"/>
        </w:rPr>
        <w:t>a shameless power grab by GSFC and the GSFC</w:t>
      </w:r>
      <w:r>
        <w:rPr>
          <w:color w:val="1C1C1C"/>
          <w:spacing w:val="-9"/>
          <w:sz w:val="20"/>
        </w:rPr>
        <w:t> </w:t>
      </w:r>
      <w:r>
        <w:rPr>
          <w:color w:val="1C1C1C"/>
          <w:sz w:val="20"/>
        </w:rPr>
        <w:t>Nominees;</w:t>
      </w:r>
    </w:p>
    <w:p>
      <w:pPr>
        <w:pStyle w:val="BodyText"/>
        <w:spacing w:before="9"/>
        <w:rPr>
          <w:sz w:val="29"/>
        </w:rPr>
      </w:pPr>
    </w:p>
    <w:p>
      <w:pPr>
        <w:pStyle w:val="ListParagraph"/>
        <w:numPr>
          <w:ilvl w:val="2"/>
          <w:numId w:val="1"/>
        </w:numPr>
        <w:tabs>
          <w:tab w:pos="2279" w:val="left" w:leader="none"/>
          <w:tab w:pos="2281" w:val="left" w:leader="none"/>
        </w:tabs>
        <w:spacing w:line="240" w:lineRule="auto" w:before="1" w:after="0"/>
        <w:ind w:left="2280" w:right="0" w:hanging="721"/>
        <w:jc w:val="left"/>
        <w:rPr>
          <w:sz w:val="20"/>
        </w:rPr>
      </w:pPr>
      <w:r>
        <w:rPr>
          <w:color w:val="1C1C1C"/>
          <w:sz w:val="20"/>
        </w:rPr>
        <w:t>GSFC’s absolute control of KRN and the KRN Board for the past two (2)</w:t>
      </w:r>
      <w:r>
        <w:rPr>
          <w:color w:val="1C1C1C"/>
          <w:spacing w:val="-17"/>
          <w:sz w:val="20"/>
        </w:rPr>
        <w:t> </w:t>
      </w:r>
      <w:r>
        <w:rPr>
          <w:color w:val="1C1C1C"/>
          <w:sz w:val="20"/>
        </w:rPr>
        <w:t>years;</w:t>
      </w:r>
    </w:p>
    <w:p>
      <w:pPr>
        <w:pStyle w:val="BodyText"/>
        <w:rPr>
          <w:sz w:val="24"/>
        </w:rPr>
      </w:pPr>
    </w:p>
    <w:p>
      <w:pPr>
        <w:pStyle w:val="ListParagraph"/>
        <w:numPr>
          <w:ilvl w:val="2"/>
          <w:numId w:val="1"/>
        </w:numPr>
        <w:tabs>
          <w:tab w:pos="2279" w:val="left" w:leader="none"/>
          <w:tab w:pos="2281" w:val="left" w:leader="none"/>
        </w:tabs>
        <w:spacing w:line="350" w:lineRule="auto" w:before="182" w:after="0"/>
        <w:ind w:left="2280" w:right="1156" w:hanging="721"/>
        <w:jc w:val="left"/>
        <w:rPr>
          <w:sz w:val="20"/>
        </w:rPr>
      </w:pPr>
      <w:r>
        <w:rPr>
          <w:color w:val="1C1C1C"/>
          <w:sz w:val="20"/>
        </w:rPr>
        <w:t>GSFC’s and the GSFC Nominees’ continuing desire to hold on to control of KRN and the KRN Board by any means, and at any</w:t>
      </w:r>
      <w:r>
        <w:rPr>
          <w:color w:val="1C1C1C"/>
          <w:spacing w:val="-9"/>
          <w:sz w:val="20"/>
        </w:rPr>
        <w:t> </w:t>
      </w:r>
      <w:r>
        <w:rPr>
          <w:color w:val="1C1C1C"/>
          <w:sz w:val="20"/>
        </w:rPr>
        <w:t>cost;</w:t>
      </w:r>
    </w:p>
    <w:p>
      <w:pPr>
        <w:pStyle w:val="BodyText"/>
        <w:spacing w:before="10"/>
      </w:pPr>
    </w:p>
    <w:p>
      <w:pPr>
        <w:pStyle w:val="ListParagraph"/>
        <w:numPr>
          <w:ilvl w:val="2"/>
          <w:numId w:val="1"/>
        </w:numPr>
        <w:tabs>
          <w:tab w:pos="2279" w:val="left" w:leader="none"/>
          <w:tab w:pos="2281" w:val="left" w:leader="none"/>
        </w:tabs>
        <w:spacing w:line="350" w:lineRule="auto" w:before="0" w:after="0"/>
        <w:ind w:left="2280" w:right="1158" w:hanging="721"/>
        <w:jc w:val="left"/>
        <w:rPr>
          <w:sz w:val="20"/>
        </w:rPr>
      </w:pPr>
      <w:r>
        <w:rPr>
          <w:color w:val="1C1C1C"/>
          <w:sz w:val="20"/>
        </w:rPr>
        <w:t>GSFC’s and the GSFC Nominees’ arrogance, bad faith and total disregard for Canadian busines practice, Securities Laws and TSX;</w:t>
      </w:r>
      <w:r>
        <w:rPr>
          <w:color w:val="1C1C1C"/>
          <w:spacing w:val="-8"/>
          <w:sz w:val="20"/>
        </w:rPr>
        <w:t> </w:t>
      </w:r>
      <w:r>
        <w:rPr>
          <w:color w:val="1C1C1C"/>
          <w:sz w:val="20"/>
        </w:rPr>
        <w:t>and</w:t>
      </w:r>
    </w:p>
    <w:p>
      <w:pPr>
        <w:pStyle w:val="BodyText"/>
        <w:spacing w:before="10"/>
      </w:pPr>
    </w:p>
    <w:p>
      <w:pPr>
        <w:pStyle w:val="ListParagraph"/>
        <w:numPr>
          <w:ilvl w:val="2"/>
          <w:numId w:val="1"/>
        </w:numPr>
        <w:tabs>
          <w:tab w:pos="2279" w:val="left" w:leader="none"/>
          <w:tab w:pos="2281" w:val="left" w:leader="none"/>
        </w:tabs>
        <w:spacing w:line="240" w:lineRule="auto" w:before="0" w:after="0"/>
        <w:ind w:left="2280" w:right="0" w:hanging="721"/>
        <w:jc w:val="left"/>
        <w:rPr>
          <w:sz w:val="20"/>
        </w:rPr>
      </w:pPr>
      <w:r>
        <w:rPr>
          <w:color w:val="1C1C1C"/>
          <w:sz w:val="20"/>
        </w:rPr>
        <w:t>their continuing entrenchment on the KRN Board;</w:t>
      </w:r>
      <w:r>
        <w:rPr>
          <w:color w:val="1C1C1C"/>
          <w:spacing w:val="-7"/>
          <w:sz w:val="20"/>
        </w:rPr>
        <w:t> </w:t>
      </w:r>
      <w:r>
        <w:rPr>
          <w:color w:val="1C1C1C"/>
          <w:sz w:val="20"/>
        </w:rPr>
        <w:t>and</w:t>
      </w:r>
    </w:p>
    <w:p>
      <w:pPr>
        <w:pStyle w:val="BodyText"/>
        <w:spacing w:before="10"/>
        <w:rPr>
          <w:sz w:val="29"/>
        </w:rPr>
      </w:pPr>
    </w:p>
    <w:p>
      <w:pPr>
        <w:pStyle w:val="ListParagraph"/>
        <w:numPr>
          <w:ilvl w:val="1"/>
          <w:numId w:val="1"/>
        </w:numPr>
        <w:tabs>
          <w:tab w:pos="1560" w:val="left" w:leader="none"/>
          <w:tab w:pos="1561" w:val="left" w:leader="none"/>
        </w:tabs>
        <w:spacing w:line="355" w:lineRule="auto" w:before="0" w:after="0"/>
        <w:ind w:left="1560" w:right="1155" w:hanging="721"/>
        <w:jc w:val="both"/>
        <w:rPr>
          <w:rFonts w:ascii="Symbol" w:hAnsi="Symbol"/>
          <w:sz w:val="20"/>
        </w:rPr>
      </w:pPr>
      <w:r>
        <w:rPr>
          <w:color w:val="1C1C1C"/>
          <w:sz w:val="20"/>
        </w:rPr>
        <w:t>constitutes a clear breach by the GSFC Nominees of their legal and fiduciary duties to act honestly,</w:t>
      </w:r>
      <w:r>
        <w:rPr>
          <w:color w:val="1C1C1C"/>
          <w:spacing w:val="-10"/>
          <w:sz w:val="20"/>
        </w:rPr>
        <w:t> </w:t>
      </w:r>
      <w:r>
        <w:rPr>
          <w:color w:val="1C1C1C"/>
          <w:sz w:val="20"/>
        </w:rPr>
        <w:t>with</w:t>
      </w:r>
      <w:r>
        <w:rPr>
          <w:color w:val="1C1C1C"/>
          <w:spacing w:val="-10"/>
          <w:sz w:val="20"/>
        </w:rPr>
        <w:t> </w:t>
      </w:r>
      <w:r>
        <w:rPr>
          <w:color w:val="1C1C1C"/>
          <w:sz w:val="20"/>
        </w:rPr>
        <w:t>integrity,</w:t>
      </w:r>
      <w:r>
        <w:rPr>
          <w:color w:val="1C1C1C"/>
          <w:spacing w:val="-10"/>
          <w:sz w:val="20"/>
        </w:rPr>
        <w:t> </w:t>
      </w:r>
      <w:r>
        <w:rPr>
          <w:color w:val="1C1C1C"/>
          <w:sz w:val="20"/>
        </w:rPr>
        <w:t>and</w:t>
      </w:r>
      <w:r>
        <w:rPr>
          <w:color w:val="1C1C1C"/>
          <w:spacing w:val="-10"/>
          <w:sz w:val="20"/>
        </w:rPr>
        <w:t> </w:t>
      </w:r>
      <w:r>
        <w:rPr>
          <w:color w:val="1C1C1C"/>
          <w:sz w:val="20"/>
        </w:rPr>
        <w:t>in</w:t>
      </w:r>
      <w:r>
        <w:rPr>
          <w:color w:val="1C1C1C"/>
          <w:spacing w:val="-10"/>
          <w:sz w:val="20"/>
        </w:rPr>
        <w:t> </w:t>
      </w:r>
      <w:r>
        <w:rPr>
          <w:color w:val="1C1C1C"/>
          <w:sz w:val="20"/>
        </w:rPr>
        <w:t>the</w:t>
      </w:r>
      <w:r>
        <w:rPr>
          <w:color w:val="1C1C1C"/>
          <w:spacing w:val="-9"/>
          <w:sz w:val="20"/>
        </w:rPr>
        <w:t> </w:t>
      </w:r>
      <w:r>
        <w:rPr>
          <w:color w:val="1C1C1C"/>
          <w:sz w:val="20"/>
        </w:rPr>
        <w:t>best</w:t>
      </w:r>
      <w:r>
        <w:rPr>
          <w:color w:val="1C1C1C"/>
          <w:spacing w:val="-10"/>
          <w:sz w:val="20"/>
        </w:rPr>
        <w:t> </w:t>
      </w:r>
      <w:r>
        <w:rPr>
          <w:color w:val="1C1C1C"/>
          <w:sz w:val="20"/>
        </w:rPr>
        <w:t>interests</w:t>
      </w:r>
      <w:r>
        <w:rPr>
          <w:color w:val="1C1C1C"/>
          <w:spacing w:val="-8"/>
          <w:sz w:val="20"/>
        </w:rPr>
        <w:t> </w:t>
      </w:r>
      <w:r>
        <w:rPr>
          <w:color w:val="1C1C1C"/>
          <w:sz w:val="20"/>
        </w:rPr>
        <w:t>of</w:t>
      </w:r>
      <w:r>
        <w:rPr>
          <w:color w:val="1C1C1C"/>
          <w:spacing w:val="-11"/>
          <w:sz w:val="20"/>
        </w:rPr>
        <w:t> </w:t>
      </w:r>
      <w:r>
        <w:rPr>
          <w:color w:val="1C1C1C"/>
          <w:sz w:val="20"/>
        </w:rPr>
        <w:t>all</w:t>
      </w:r>
      <w:r>
        <w:rPr>
          <w:color w:val="1C1C1C"/>
          <w:spacing w:val="-9"/>
          <w:sz w:val="20"/>
        </w:rPr>
        <w:t> </w:t>
      </w:r>
      <w:r>
        <w:rPr>
          <w:color w:val="1C1C1C"/>
          <w:sz w:val="20"/>
        </w:rPr>
        <w:t>KRN</w:t>
      </w:r>
      <w:r>
        <w:rPr>
          <w:color w:val="1C1C1C"/>
          <w:spacing w:val="-9"/>
          <w:sz w:val="20"/>
        </w:rPr>
        <w:t> </w:t>
      </w:r>
      <w:r>
        <w:rPr>
          <w:color w:val="1C1C1C"/>
          <w:sz w:val="20"/>
        </w:rPr>
        <w:t>Shareholders,</w:t>
      </w:r>
      <w:r>
        <w:rPr>
          <w:color w:val="1C1C1C"/>
          <w:spacing w:val="-10"/>
          <w:sz w:val="20"/>
        </w:rPr>
        <w:t> </w:t>
      </w:r>
      <w:r>
        <w:rPr>
          <w:color w:val="1C1C1C"/>
          <w:sz w:val="20"/>
        </w:rPr>
        <w:t>rather</w:t>
      </w:r>
      <w:r>
        <w:rPr>
          <w:color w:val="1C1C1C"/>
          <w:spacing w:val="-9"/>
          <w:sz w:val="20"/>
        </w:rPr>
        <w:t> </w:t>
      </w:r>
      <w:r>
        <w:rPr>
          <w:color w:val="1C1C1C"/>
          <w:sz w:val="20"/>
        </w:rPr>
        <w:t>than</w:t>
      </w:r>
      <w:r>
        <w:rPr>
          <w:color w:val="1C1C1C"/>
          <w:spacing w:val="-9"/>
          <w:sz w:val="20"/>
        </w:rPr>
        <w:t> </w:t>
      </w:r>
      <w:r>
        <w:rPr>
          <w:color w:val="1C1C1C"/>
          <w:sz w:val="20"/>
        </w:rPr>
        <w:t>in</w:t>
      </w:r>
      <w:r>
        <w:rPr>
          <w:color w:val="1C1C1C"/>
          <w:spacing w:val="-9"/>
          <w:sz w:val="20"/>
        </w:rPr>
        <w:t> </w:t>
      </w:r>
      <w:r>
        <w:rPr>
          <w:color w:val="1C1C1C"/>
          <w:sz w:val="20"/>
        </w:rPr>
        <w:t>the best interests of</w:t>
      </w:r>
      <w:r>
        <w:rPr>
          <w:color w:val="1C1C1C"/>
          <w:spacing w:val="-4"/>
          <w:sz w:val="20"/>
        </w:rPr>
        <w:t> </w:t>
      </w:r>
      <w:r>
        <w:rPr>
          <w:color w:val="1C1C1C"/>
          <w:sz w:val="20"/>
        </w:rPr>
        <w:t>GSFC.</w:t>
      </w:r>
    </w:p>
    <w:p>
      <w:pPr>
        <w:pStyle w:val="BodyText"/>
        <w:spacing w:before="3"/>
        <w:rPr>
          <w:sz w:val="21"/>
        </w:rPr>
      </w:pPr>
    </w:p>
    <w:p>
      <w:pPr>
        <w:pStyle w:val="Heading1"/>
        <w:ind w:left="120" w:firstLine="0"/>
      </w:pPr>
      <w:r>
        <w:rPr/>
        <w:t>Special Meeting Results Illustrate Shareholders’ Frustration</w:t>
      </w:r>
    </w:p>
    <w:p>
      <w:pPr>
        <w:pStyle w:val="BodyText"/>
        <w:spacing w:before="10"/>
        <w:rPr>
          <w:b/>
          <w:sz w:val="30"/>
        </w:rPr>
      </w:pPr>
    </w:p>
    <w:p>
      <w:pPr>
        <w:pStyle w:val="ListParagraph"/>
        <w:numPr>
          <w:ilvl w:val="0"/>
          <w:numId w:val="1"/>
        </w:numPr>
        <w:tabs>
          <w:tab w:pos="841" w:val="left" w:leader="none"/>
        </w:tabs>
        <w:spacing w:line="360" w:lineRule="auto" w:before="0" w:after="0"/>
        <w:ind w:left="840" w:right="1156" w:hanging="721"/>
        <w:jc w:val="both"/>
        <w:rPr>
          <w:sz w:val="20"/>
        </w:rPr>
      </w:pPr>
      <w:r>
        <w:rPr>
          <w:sz w:val="20"/>
        </w:rPr>
        <w:t>I verily believe that the voting results of the Special Meeting reveal that a vast majority of the 62% of shareholders of KRN that aren’t GSFC, support the position of the Concerned</w:t>
      </w:r>
      <w:r>
        <w:rPr>
          <w:spacing w:val="-28"/>
          <w:sz w:val="20"/>
        </w:rPr>
        <w:t> </w:t>
      </w:r>
      <w:r>
        <w:rPr>
          <w:sz w:val="20"/>
        </w:rPr>
        <w:t>Shareholders.</w:t>
      </w:r>
    </w:p>
    <w:p>
      <w:pPr>
        <w:pStyle w:val="BodyText"/>
        <w:spacing w:before="10"/>
      </w:pPr>
    </w:p>
    <w:p>
      <w:pPr>
        <w:pStyle w:val="ListParagraph"/>
        <w:numPr>
          <w:ilvl w:val="0"/>
          <w:numId w:val="1"/>
        </w:numPr>
        <w:tabs>
          <w:tab w:pos="841" w:val="left" w:leader="none"/>
        </w:tabs>
        <w:spacing w:line="360" w:lineRule="auto" w:before="0" w:after="0"/>
        <w:ind w:left="840" w:right="1158" w:hanging="721"/>
        <w:jc w:val="both"/>
        <w:rPr>
          <w:sz w:val="20"/>
        </w:rPr>
      </w:pPr>
      <w:r>
        <w:rPr>
          <w:sz w:val="20"/>
        </w:rPr>
        <w:t>I verily believe that GSFC, and the GSFC Nominees, continue to use their 38.73% ownership of KRN, and their control of the KRN Board, to pursue what is in the best interest of GSFC, and not what is in the best interest of all shareholders of</w:t>
      </w:r>
      <w:r>
        <w:rPr>
          <w:spacing w:val="-12"/>
          <w:sz w:val="20"/>
        </w:rPr>
        <w:t> </w:t>
      </w:r>
      <w:r>
        <w:rPr>
          <w:sz w:val="20"/>
        </w:rPr>
        <w:t>KRN.</w:t>
      </w:r>
    </w:p>
    <w:p>
      <w:pPr>
        <w:pStyle w:val="BodyText"/>
        <w:spacing w:before="11"/>
      </w:pPr>
    </w:p>
    <w:p>
      <w:pPr>
        <w:pStyle w:val="ListParagraph"/>
        <w:numPr>
          <w:ilvl w:val="0"/>
          <w:numId w:val="1"/>
        </w:numPr>
        <w:tabs>
          <w:tab w:pos="841" w:val="left" w:leader="none"/>
        </w:tabs>
        <w:spacing w:line="360" w:lineRule="auto" w:before="0" w:after="0"/>
        <w:ind w:left="840" w:right="1156" w:hanging="721"/>
        <w:jc w:val="both"/>
        <w:rPr>
          <w:sz w:val="20"/>
        </w:rPr>
      </w:pPr>
      <w:r>
        <w:rPr>
          <w:sz w:val="20"/>
        </w:rPr>
        <w:t>I verily believe that Favreau is an active participant, and is complicit, in the activities of GSFC and the GSFC Nominees, as it allows her to keep her</w:t>
      </w:r>
      <w:r>
        <w:rPr>
          <w:spacing w:val="-7"/>
          <w:sz w:val="20"/>
        </w:rPr>
        <w:t> </w:t>
      </w:r>
      <w:r>
        <w:rPr>
          <w:sz w:val="20"/>
        </w:rPr>
        <w:t>job.</w:t>
      </w:r>
    </w:p>
    <w:p>
      <w:pPr>
        <w:spacing w:after="0" w:line="360" w:lineRule="auto"/>
        <w:jc w:val="both"/>
        <w:rPr>
          <w:sz w:val="20"/>
        </w:rPr>
        <w:sectPr>
          <w:pgSz w:w="12240" w:h="15840"/>
          <w:pgMar w:header="0" w:footer="1259" w:top="1220" w:bottom="1440" w:left="1320" w:right="280"/>
        </w:sectPr>
      </w:pPr>
    </w:p>
    <w:p>
      <w:pPr>
        <w:pStyle w:val="BodyText"/>
        <w:spacing w:before="4"/>
        <w:rPr>
          <w:sz w:val="17"/>
        </w:rPr>
      </w:pPr>
      <w:r>
        <w:rPr/>
        <w:drawing>
          <wp:anchor distT="0" distB="0" distL="0" distR="0" allowOverlap="1" layoutInCell="1" locked="0" behindDoc="1" simplePos="0" relativeHeight="250311680">
            <wp:simplePos x="0" y="0"/>
            <wp:positionH relativeFrom="page">
              <wp:posOffset>0</wp:posOffset>
            </wp:positionH>
            <wp:positionV relativeFrom="page">
              <wp:posOffset>0</wp:posOffset>
            </wp:positionV>
            <wp:extent cx="7772400" cy="10058400"/>
            <wp:effectExtent l="0" t="0" r="0" b="0"/>
            <wp:wrapNone/>
            <wp:docPr id="77" name="image6.jpeg"/>
            <wp:cNvGraphicFramePr>
              <a:graphicFrameLocks noChangeAspect="1"/>
            </wp:cNvGraphicFramePr>
            <a:graphic>
              <a:graphicData uri="http://schemas.openxmlformats.org/drawingml/2006/picture">
                <pic:pic>
                  <pic:nvPicPr>
                    <pic:cNvPr id="78" name="image6.jpeg"/>
                    <pic:cNvPicPr/>
                  </pic:nvPicPr>
                  <pic:blipFill>
                    <a:blip r:embed="rId21" cstate="print"/>
                    <a:stretch>
                      <a:fillRect/>
                    </a:stretch>
                  </pic:blipFill>
                  <pic:spPr>
                    <a:xfrm>
                      <a:off x="0" y="0"/>
                      <a:ext cx="7772400" cy="10058400"/>
                    </a:xfrm>
                    <a:prstGeom prst="rect">
                      <a:avLst/>
                    </a:prstGeom>
                  </pic:spPr>
                </pic:pic>
              </a:graphicData>
            </a:graphic>
          </wp:anchor>
        </w:drawing>
      </w:r>
      <w:bookmarkStart w:name=" I have concluded that KRN, the KRN Boa" w:id="102"/>
      <w:bookmarkEnd w:id="102"/>
      <w:r>
        <w:rPr/>
      </w:r>
      <w:r>
        <w:rPr>
          <w:sz w:val="17"/>
        </w:rPr>
      </w:r>
    </w:p>
    <w:sectPr>
      <w:footerReference w:type="default" r:id="rId20"/>
      <w:pgSz w:w="12240" w:h="15840"/>
      <w:pgMar w:footer="0" w:header="0" w:top="1500" w:bottom="280" w:left="132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20013pt;margin-top:718.029175pt;width:17.2pt;height:13.2pt;mso-position-horizontal-relative:page;mso-position-vertical-relative:page;z-index:-253050880" type="#_x0000_t202" filled="false" stroked="false">
          <v:textbox inset="0,0,0,0">
            <w:txbxContent>
              <w:p>
                <w:pPr>
                  <w:pStyle w:val="BodyText"/>
                  <w:spacing w:before="14"/>
                  <w:ind w:left="60"/>
                </w:pPr>
                <w:r>
                  <w:rPr/>
                  <w:fldChar w:fldCharType="begin"/>
                </w:r>
                <w:r>
                  <w:rPr/>
                  <w:instrText> PAGE </w:instrText>
                </w:r>
                <w:r>
                  <w:rPr/>
                  <w:fldChar w:fldCharType="separate"/>
                </w:r>
                <w:r>
                  <w:rPr/>
                  <w:t>10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20013pt;margin-top:718.029175pt;width:17.2pt;height:13.2pt;mso-position-horizontal-relative:page;mso-position-vertical-relative:page;z-index:-253031424" type="#_x0000_t202" filled="false" stroked="false">
          <v:textbox inset="0,0,0,0">
            <w:txbxContent>
              <w:p>
                <w:pPr>
                  <w:pStyle w:val="BodyText"/>
                  <w:spacing w:before="14"/>
                  <w:ind w:left="60"/>
                </w:pPr>
                <w:r>
                  <w:rPr/>
                  <w:fldChar w:fldCharType="begin"/>
                </w:r>
                <w:r>
                  <w:rPr/>
                  <w:instrText> PAGE </w:instrText>
                </w:r>
                <w:r>
                  <w:rPr/>
                  <w:fldChar w:fldCharType="separate"/>
                </w:r>
                <w:r>
                  <w:rPr/>
                  <w:t>35</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266624">
          <wp:simplePos x="0" y="0"/>
          <wp:positionH relativeFrom="page">
            <wp:posOffset>6849618</wp:posOffset>
          </wp:positionH>
          <wp:positionV relativeFrom="page">
            <wp:posOffset>9319374</wp:posOffset>
          </wp:positionV>
          <wp:extent cx="547560" cy="555707"/>
          <wp:effectExtent l="0" t="0" r="0" b="0"/>
          <wp:wrapNone/>
          <wp:docPr id="17" name="image4.png"/>
          <wp:cNvGraphicFramePr>
            <a:graphicFrameLocks noChangeAspect="1"/>
          </wp:cNvGraphicFramePr>
          <a:graphic>
            <a:graphicData uri="http://schemas.openxmlformats.org/drawingml/2006/picture">
              <pic:pic>
                <pic:nvPicPr>
                  <pic:cNvPr id="18" name="image4.png"/>
                  <pic:cNvPicPr/>
                </pic:nvPicPr>
                <pic:blipFill>
                  <a:blip r:embed="rId1" cstate="print"/>
                  <a:stretch>
                    <a:fillRect/>
                  </a:stretch>
                </pic:blipFill>
                <pic:spPr>
                  <a:xfrm>
                    <a:off x="0" y="0"/>
                    <a:ext cx="547560" cy="555707"/>
                  </a:xfrm>
                  <a:prstGeom prst="rect">
                    <a:avLst/>
                  </a:prstGeom>
                </pic:spPr>
              </pic:pic>
            </a:graphicData>
          </a:graphic>
        </wp:anchor>
      </w:drawing>
    </w:r>
    <w:r>
      <w:rPr/>
      <w:drawing>
        <wp:anchor distT="0" distB="0" distL="0" distR="0" allowOverlap="1" layoutInCell="1" locked="0" behindDoc="1" simplePos="0" relativeHeight="250267648">
          <wp:simplePos x="0" y="0"/>
          <wp:positionH relativeFrom="page">
            <wp:posOffset>5822213</wp:posOffset>
          </wp:positionH>
          <wp:positionV relativeFrom="page">
            <wp:posOffset>9251787</wp:posOffset>
          </wp:positionV>
          <wp:extent cx="876722" cy="555707"/>
          <wp:effectExtent l="0" t="0" r="0" b="0"/>
          <wp:wrapNone/>
          <wp:docPr id="19" name="image5.png"/>
          <wp:cNvGraphicFramePr>
            <a:graphicFrameLocks noChangeAspect="1"/>
          </wp:cNvGraphicFramePr>
          <a:graphic>
            <a:graphicData uri="http://schemas.openxmlformats.org/drawingml/2006/picture">
              <pic:pic>
                <pic:nvPicPr>
                  <pic:cNvPr id="20" name="image5.png"/>
                  <pic:cNvPicPr/>
                </pic:nvPicPr>
                <pic:blipFill>
                  <a:blip r:embed="rId2" cstate="print"/>
                  <a:stretch>
                    <a:fillRect/>
                  </a:stretch>
                </pic:blipFill>
                <pic:spPr>
                  <a:xfrm>
                    <a:off x="0" y="0"/>
                    <a:ext cx="876722" cy="555707"/>
                  </a:xfrm>
                  <a:prstGeom prst="rect">
                    <a:avLst/>
                  </a:prstGeom>
                </pic:spPr>
              </pic:pic>
            </a:graphicData>
          </a:graphic>
        </wp:anchor>
      </w:drawing>
    </w:r>
    <w:r>
      <w:rPr/>
      <w:pict>
        <v:shape style="position:absolute;margin-left:297.420013pt;margin-top:718.029175pt;width:17.2pt;height:13.2pt;mso-position-horizontal-relative:page;mso-position-vertical-relative:page;z-index:-253047808" type="#_x0000_t202" filled="false" stroked="false">
          <v:textbox inset="0,0,0,0">
            <w:txbxContent>
              <w:p>
                <w:pPr>
                  <w:pStyle w:val="BodyText"/>
                  <w:spacing w:before="14"/>
                  <w:ind w:left="60"/>
                </w:pPr>
                <w:r>
                  <w:rPr/>
                  <w:fldChar w:fldCharType="begin"/>
                </w:r>
                <w:r>
                  <w:rPr/>
                  <w:instrText> PAGE </w:instrText>
                </w:r>
                <w:r>
                  <w:rPr/>
                  <w:fldChar w:fldCharType="separate"/>
                </w:r>
                <w:r>
                  <w:rPr/>
                  <w:t>12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20013pt;margin-top:718.029175pt;width:17.2pt;height:13.2pt;mso-position-horizontal-relative:page;mso-position-vertical-relative:page;z-index:-253046784" type="#_x0000_t202" filled="false" stroked="false">
          <v:textbox inset="0,0,0,0">
            <w:txbxContent>
              <w:p>
                <w:pPr>
                  <w:pStyle w:val="BodyText"/>
                  <w:spacing w:before="14"/>
                  <w:ind w:left="60"/>
                </w:pPr>
                <w:r>
                  <w:rPr/>
                  <w:fldChar w:fldCharType="begin"/>
                </w:r>
                <w:r>
                  <w:rPr/>
                  <w:instrText> PAGE </w:instrText>
                </w:r>
                <w:r>
                  <w:rPr/>
                  <w:fldChar w:fldCharType="separate"/>
                </w:r>
                <w:r>
                  <w:rPr/>
                  <w:t>14</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270720">
          <wp:simplePos x="0" y="0"/>
          <wp:positionH relativeFrom="page">
            <wp:posOffset>6909701</wp:posOffset>
          </wp:positionH>
          <wp:positionV relativeFrom="page">
            <wp:posOffset>9401972</wp:posOffset>
          </wp:positionV>
          <wp:extent cx="547560" cy="555707"/>
          <wp:effectExtent l="0" t="0" r="0" b="0"/>
          <wp:wrapNone/>
          <wp:docPr id="33" name="image4.png"/>
          <wp:cNvGraphicFramePr>
            <a:graphicFrameLocks noChangeAspect="1"/>
          </wp:cNvGraphicFramePr>
          <a:graphic>
            <a:graphicData uri="http://schemas.openxmlformats.org/drawingml/2006/picture">
              <pic:pic>
                <pic:nvPicPr>
                  <pic:cNvPr id="34" name="image4.png"/>
                  <pic:cNvPicPr/>
                </pic:nvPicPr>
                <pic:blipFill>
                  <a:blip r:embed="rId1" cstate="print"/>
                  <a:stretch>
                    <a:fillRect/>
                  </a:stretch>
                </pic:blipFill>
                <pic:spPr>
                  <a:xfrm>
                    <a:off x="0" y="0"/>
                    <a:ext cx="547560" cy="555707"/>
                  </a:xfrm>
                  <a:prstGeom prst="rect">
                    <a:avLst/>
                  </a:prstGeom>
                </pic:spPr>
              </pic:pic>
            </a:graphicData>
          </a:graphic>
        </wp:anchor>
      </w:drawing>
    </w:r>
    <w:r>
      <w:rPr/>
      <w:drawing>
        <wp:anchor distT="0" distB="0" distL="0" distR="0" allowOverlap="1" layoutInCell="1" locked="0" behindDoc="1" simplePos="0" relativeHeight="250271744">
          <wp:simplePos x="0" y="0"/>
          <wp:positionH relativeFrom="page">
            <wp:posOffset>5979909</wp:posOffset>
          </wp:positionH>
          <wp:positionV relativeFrom="page">
            <wp:posOffset>9356915</wp:posOffset>
          </wp:positionV>
          <wp:extent cx="876722" cy="555707"/>
          <wp:effectExtent l="0" t="0" r="0" b="0"/>
          <wp:wrapNone/>
          <wp:docPr id="35" name="image5.png"/>
          <wp:cNvGraphicFramePr>
            <a:graphicFrameLocks noChangeAspect="1"/>
          </wp:cNvGraphicFramePr>
          <a:graphic>
            <a:graphicData uri="http://schemas.openxmlformats.org/drawingml/2006/picture">
              <pic:pic>
                <pic:nvPicPr>
                  <pic:cNvPr id="36" name="image5.png"/>
                  <pic:cNvPicPr/>
                </pic:nvPicPr>
                <pic:blipFill>
                  <a:blip r:embed="rId2" cstate="print"/>
                  <a:stretch>
                    <a:fillRect/>
                  </a:stretch>
                </pic:blipFill>
                <pic:spPr>
                  <a:xfrm>
                    <a:off x="0" y="0"/>
                    <a:ext cx="876722" cy="555707"/>
                  </a:xfrm>
                  <a:prstGeom prst="rect">
                    <a:avLst/>
                  </a:prstGeom>
                </pic:spPr>
              </pic:pic>
            </a:graphicData>
          </a:graphic>
        </wp:anchor>
      </w:drawing>
    </w:r>
    <w:r>
      <w:rPr/>
      <w:pict>
        <v:shape style="position:absolute;margin-left:297.420013pt;margin-top:718.029175pt;width:17.2pt;height:13.2pt;mso-position-horizontal-relative:page;mso-position-vertical-relative:page;z-index:-253043712" type="#_x0000_t202" filled="false" stroked="false">
          <v:textbox inset="0,0,0,0">
            <w:txbxContent>
              <w:p>
                <w:pPr>
                  <w:pStyle w:val="BodyText"/>
                  <w:spacing w:before="14"/>
                  <w:ind w:left="60"/>
                </w:pPr>
                <w:r>
                  <w:rPr/>
                  <w:fldChar w:fldCharType="begin"/>
                </w:r>
                <w:r>
                  <w:rPr/>
                  <w:instrText> PAGE </w:instrText>
                </w:r>
                <w:r>
                  <w:rPr/>
                  <w:fldChar w:fldCharType="separate"/>
                </w:r>
                <w:r>
                  <w:rPr/>
                  <w:t>17</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273792">
          <wp:simplePos x="0" y="0"/>
          <wp:positionH relativeFrom="page">
            <wp:posOffset>6827087</wp:posOffset>
          </wp:positionH>
          <wp:positionV relativeFrom="page">
            <wp:posOffset>9311857</wp:posOffset>
          </wp:positionV>
          <wp:extent cx="547560" cy="555707"/>
          <wp:effectExtent l="0" t="0" r="0" b="0"/>
          <wp:wrapNone/>
          <wp:docPr id="37" name="image4.png"/>
          <wp:cNvGraphicFramePr>
            <a:graphicFrameLocks noChangeAspect="1"/>
          </wp:cNvGraphicFramePr>
          <a:graphic>
            <a:graphicData uri="http://schemas.openxmlformats.org/drawingml/2006/picture">
              <pic:pic>
                <pic:nvPicPr>
                  <pic:cNvPr id="38" name="image4.png"/>
                  <pic:cNvPicPr/>
                </pic:nvPicPr>
                <pic:blipFill>
                  <a:blip r:embed="rId1" cstate="print"/>
                  <a:stretch>
                    <a:fillRect/>
                  </a:stretch>
                </pic:blipFill>
                <pic:spPr>
                  <a:xfrm>
                    <a:off x="0" y="0"/>
                    <a:ext cx="547560" cy="555707"/>
                  </a:xfrm>
                  <a:prstGeom prst="rect">
                    <a:avLst/>
                  </a:prstGeom>
                </pic:spPr>
              </pic:pic>
            </a:graphicData>
          </a:graphic>
        </wp:anchor>
      </w:drawing>
    </w:r>
    <w:r>
      <w:rPr/>
      <w:drawing>
        <wp:anchor distT="0" distB="0" distL="0" distR="0" allowOverlap="1" layoutInCell="1" locked="0" behindDoc="1" simplePos="0" relativeHeight="250274816">
          <wp:simplePos x="0" y="0"/>
          <wp:positionH relativeFrom="page">
            <wp:posOffset>5852248</wp:posOffset>
          </wp:positionH>
          <wp:positionV relativeFrom="page">
            <wp:posOffset>9274316</wp:posOffset>
          </wp:positionV>
          <wp:extent cx="876722" cy="555707"/>
          <wp:effectExtent l="0" t="0" r="0" b="0"/>
          <wp:wrapNone/>
          <wp:docPr id="39" name="image5.png"/>
          <wp:cNvGraphicFramePr>
            <a:graphicFrameLocks noChangeAspect="1"/>
          </wp:cNvGraphicFramePr>
          <a:graphic>
            <a:graphicData uri="http://schemas.openxmlformats.org/drawingml/2006/picture">
              <pic:pic>
                <pic:nvPicPr>
                  <pic:cNvPr id="40" name="image5.png"/>
                  <pic:cNvPicPr/>
                </pic:nvPicPr>
                <pic:blipFill>
                  <a:blip r:embed="rId2" cstate="print"/>
                  <a:stretch>
                    <a:fillRect/>
                  </a:stretch>
                </pic:blipFill>
                <pic:spPr>
                  <a:xfrm>
                    <a:off x="0" y="0"/>
                    <a:ext cx="876722" cy="555707"/>
                  </a:xfrm>
                  <a:prstGeom prst="rect">
                    <a:avLst/>
                  </a:prstGeom>
                </pic:spPr>
              </pic:pic>
            </a:graphicData>
          </a:graphic>
        </wp:anchor>
      </w:drawing>
    </w:r>
    <w:r>
      <w:rPr/>
      <w:pict>
        <v:shape style="position:absolute;margin-left:297.420013pt;margin-top:718.029175pt;width:17.2pt;height:13.2pt;mso-position-horizontal-relative:page;mso-position-vertical-relative:page;z-index:-253040640" type="#_x0000_t202" filled="false" stroked="false">
          <v:textbox inset="0,0,0,0">
            <w:txbxContent>
              <w:p>
                <w:pPr>
                  <w:pStyle w:val="BodyText"/>
                  <w:spacing w:before="14"/>
                  <w:ind w:left="60"/>
                </w:pPr>
                <w:r>
                  <w:rPr/>
                  <w:fldChar w:fldCharType="begin"/>
                </w:r>
                <w:r>
                  <w:rPr/>
                  <w:instrText> PAGE </w:instrText>
                </w:r>
                <w:r>
                  <w:rPr/>
                  <w:fldChar w:fldCharType="separate"/>
                </w:r>
                <w:r>
                  <w:rPr/>
                  <w:t>19</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20013pt;margin-top:718.029175pt;width:17.2pt;height:13.2pt;mso-position-horizontal-relative:page;mso-position-vertical-relative:page;z-index:-253039616" type="#_x0000_t202" filled="false" stroked="false">
          <v:textbox inset="0,0,0,0">
            <w:txbxContent>
              <w:p>
                <w:pPr>
                  <w:pStyle w:val="BodyText"/>
                  <w:spacing w:before="14"/>
                  <w:ind w:left="60"/>
                </w:pPr>
                <w:r>
                  <w:rPr/>
                  <w:fldChar w:fldCharType="begin"/>
                </w:r>
                <w:r>
                  <w:rPr/>
                  <w:instrText> PAGE </w:instrText>
                </w:r>
                <w:r>
                  <w:rPr/>
                  <w:fldChar w:fldCharType="separate"/>
                </w:r>
                <w:r>
                  <w:rPr/>
                  <w:t>21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277888">
          <wp:simplePos x="0" y="0"/>
          <wp:positionH relativeFrom="page">
            <wp:posOffset>6902195</wp:posOffset>
          </wp:positionH>
          <wp:positionV relativeFrom="page">
            <wp:posOffset>9364431</wp:posOffset>
          </wp:positionV>
          <wp:extent cx="547560" cy="555707"/>
          <wp:effectExtent l="0" t="0" r="0" b="0"/>
          <wp:wrapNone/>
          <wp:docPr id="41" name="image4.png"/>
          <wp:cNvGraphicFramePr>
            <a:graphicFrameLocks noChangeAspect="1"/>
          </wp:cNvGraphicFramePr>
          <a:graphic>
            <a:graphicData uri="http://schemas.openxmlformats.org/drawingml/2006/picture">
              <pic:pic>
                <pic:nvPicPr>
                  <pic:cNvPr id="42" name="image4.png"/>
                  <pic:cNvPicPr/>
                </pic:nvPicPr>
                <pic:blipFill>
                  <a:blip r:embed="rId1" cstate="print"/>
                  <a:stretch>
                    <a:fillRect/>
                  </a:stretch>
                </pic:blipFill>
                <pic:spPr>
                  <a:xfrm>
                    <a:off x="0" y="0"/>
                    <a:ext cx="547560" cy="555707"/>
                  </a:xfrm>
                  <a:prstGeom prst="rect">
                    <a:avLst/>
                  </a:prstGeom>
                </pic:spPr>
              </pic:pic>
            </a:graphicData>
          </a:graphic>
        </wp:anchor>
      </w:drawing>
    </w:r>
    <w:r>
      <w:rPr/>
      <w:drawing>
        <wp:anchor distT="0" distB="0" distL="0" distR="0" allowOverlap="1" layoutInCell="1" locked="0" behindDoc="1" simplePos="0" relativeHeight="250278912">
          <wp:simplePos x="0" y="0"/>
          <wp:positionH relativeFrom="page">
            <wp:posOffset>5822213</wp:posOffset>
          </wp:positionH>
          <wp:positionV relativeFrom="page">
            <wp:posOffset>9326880</wp:posOffset>
          </wp:positionV>
          <wp:extent cx="876722" cy="555707"/>
          <wp:effectExtent l="0" t="0" r="0" b="0"/>
          <wp:wrapNone/>
          <wp:docPr id="43" name="image5.png"/>
          <wp:cNvGraphicFramePr>
            <a:graphicFrameLocks noChangeAspect="1"/>
          </wp:cNvGraphicFramePr>
          <a:graphic>
            <a:graphicData uri="http://schemas.openxmlformats.org/drawingml/2006/picture">
              <pic:pic>
                <pic:nvPicPr>
                  <pic:cNvPr id="44" name="image5.png"/>
                  <pic:cNvPicPr/>
                </pic:nvPicPr>
                <pic:blipFill>
                  <a:blip r:embed="rId2" cstate="print"/>
                  <a:stretch>
                    <a:fillRect/>
                  </a:stretch>
                </pic:blipFill>
                <pic:spPr>
                  <a:xfrm>
                    <a:off x="0" y="0"/>
                    <a:ext cx="876722" cy="555707"/>
                  </a:xfrm>
                  <a:prstGeom prst="rect">
                    <a:avLst/>
                  </a:prstGeom>
                </pic:spPr>
              </pic:pic>
            </a:graphicData>
          </a:graphic>
        </wp:anchor>
      </w:drawing>
    </w:r>
    <w:r>
      <w:rPr/>
      <w:pict>
        <v:shape style="position:absolute;margin-left:297.420013pt;margin-top:718.029175pt;width:17.2pt;height:13.2pt;mso-position-horizontal-relative:page;mso-position-vertical-relative:page;z-index:-253036544" type="#_x0000_t202" filled="false" stroked="false">
          <v:textbox inset="0,0,0,0">
            <w:txbxContent>
              <w:p>
                <w:pPr>
                  <w:pStyle w:val="BodyText"/>
                  <w:spacing w:before="14"/>
                  <w:ind w:left="60"/>
                </w:pPr>
                <w:r>
                  <w:rPr/>
                  <w:fldChar w:fldCharType="begin"/>
                </w:r>
                <w:r>
                  <w:rPr/>
                  <w:instrText> PAGE </w:instrText>
                </w:r>
                <w:r>
                  <w:rPr/>
                  <w:fldChar w:fldCharType="separate"/>
                </w:r>
                <w:r>
                  <w:rPr/>
                  <w:t>22</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20013pt;margin-top:718.029175pt;width:17.2pt;height:13.2pt;mso-position-horizontal-relative:page;mso-position-vertical-relative:page;z-index:-253035520" type="#_x0000_t202" filled="false" stroked="false">
          <v:textbox inset="0,0,0,0">
            <w:txbxContent>
              <w:p>
                <w:pPr>
                  <w:pStyle w:val="BodyText"/>
                  <w:spacing w:before="14"/>
                  <w:ind w:left="60"/>
                </w:pPr>
                <w:r>
                  <w:rPr/>
                  <w:fldChar w:fldCharType="begin"/>
                </w:r>
                <w:r>
                  <w:rPr/>
                  <w:instrText> PAGE </w:instrText>
                </w:r>
                <w:r>
                  <w:rPr/>
                  <w:fldChar w:fldCharType="separate"/>
                </w:r>
                <w:r>
                  <w:rPr/>
                  <w:t>26</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281984">
          <wp:simplePos x="0" y="0"/>
          <wp:positionH relativeFrom="page">
            <wp:posOffset>5949873</wp:posOffset>
          </wp:positionH>
          <wp:positionV relativeFrom="page">
            <wp:posOffset>9371938</wp:posOffset>
          </wp:positionV>
          <wp:extent cx="876722" cy="555707"/>
          <wp:effectExtent l="0" t="0" r="0" b="0"/>
          <wp:wrapNone/>
          <wp:docPr id="57" name="image5.png"/>
          <wp:cNvGraphicFramePr>
            <a:graphicFrameLocks noChangeAspect="1"/>
          </wp:cNvGraphicFramePr>
          <a:graphic>
            <a:graphicData uri="http://schemas.openxmlformats.org/drawingml/2006/picture">
              <pic:pic>
                <pic:nvPicPr>
                  <pic:cNvPr id="58" name="image5.png"/>
                  <pic:cNvPicPr/>
                </pic:nvPicPr>
                <pic:blipFill>
                  <a:blip r:embed="rId1" cstate="print"/>
                  <a:stretch>
                    <a:fillRect/>
                  </a:stretch>
                </pic:blipFill>
                <pic:spPr>
                  <a:xfrm>
                    <a:off x="0" y="0"/>
                    <a:ext cx="876722" cy="555707"/>
                  </a:xfrm>
                  <a:prstGeom prst="rect">
                    <a:avLst/>
                  </a:prstGeom>
                </pic:spPr>
              </pic:pic>
            </a:graphicData>
          </a:graphic>
        </wp:anchor>
      </w:drawing>
    </w:r>
    <w:r>
      <w:rPr/>
      <w:drawing>
        <wp:anchor distT="0" distB="0" distL="0" distR="0" allowOverlap="1" layoutInCell="1" locked="0" behindDoc="1" simplePos="0" relativeHeight="250283008">
          <wp:simplePos x="0" y="0"/>
          <wp:positionH relativeFrom="page">
            <wp:posOffset>6842112</wp:posOffset>
          </wp:positionH>
          <wp:positionV relativeFrom="page">
            <wp:posOffset>9364431</wp:posOffset>
          </wp:positionV>
          <wp:extent cx="547560" cy="555707"/>
          <wp:effectExtent l="0" t="0" r="0" b="0"/>
          <wp:wrapNone/>
          <wp:docPr id="59" name="image4.png"/>
          <wp:cNvGraphicFramePr>
            <a:graphicFrameLocks noChangeAspect="1"/>
          </wp:cNvGraphicFramePr>
          <a:graphic>
            <a:graphicData uri="http://schemas.openxmlformats.org/drawingml/2006/picture">
              <pic:pic>
                <pic:nvPicPr>
                  <pic:cNvPr id="60" name="image4.png"/>
                  <pic:cNvPicPr/>
                </pic:nvPicPr>
                <pic:blipFill>
                  <a:blip r:embed="rId2" cstate="print"/>
                  <a:stretch>
                    <a:fillRect/>
                  </a:stretch>
                </pic:blipFill>
                <pic:spPr>
                  <a:xfrm>
                    <a:off x="0" y="0"/>
                    <a:ext cx="547560" cy="555707"/>
                  </a:xfrm>
                  <a:prstGeom prst="rect">
                    <a:avLst/>
                  </a:prstGeom>
                </pic:spPr>
              </pic:pic>
            </a:graphicData>
          </a:graphic>
        </wp:anchor>
      </w:drawing>
    </w:r>
    <w:r>
      <w:rPr/>
      <w:pict>
        <v:shape style="position:absolute;margin-left:297.420013pt;margin-top:718.029175pt;width:17.2pt;height:13.2pt;mso-position-horizontal-relative:page;mso-position-vertical-relative:page;z-index:-253032448" type="#_x0000_t202" filled="false" stroked="false">
          <v:textbox inset="0,0,0,0">
            <w:txbxContent>
              <w:p>
                <w:pPr>
                  <w:pStyle w:val="BodyText"/>
                  <w:spacing w:before="14"/>
                  <w:ind w:left="60"/>
                </w:pPr>
                <w:r>
                  <w:rPr/>
                  <w:fldChar w:fldCharType="begin"/>
                </w:r>
                <w:r>
                  <w:rPr/>
                  <w:instrText> PAGE </w:instrText>
                </w:r>
                <w:r>
                  <w:rPr/>
                  <w:fldChar w:fldCharType="separate"/>
                </w:r>
                <w:r>
                  <w:rPr/>
                  <w:t>33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lowerLetter"/>
      <w:lvlText w:val="%1)"/>
      <w:lvlJc w:val="left"/>
      <w:pPr>
        <w:ind w:left="840" w:hanging="721"/>
        <w:jc w:val="left"/>
      </w:pPr>
      <w:rPr>
        <w:rFonts w:hint="default" w:ascii="Arial" w:hAnsi="Arial" w:eastAsia="Arial" w:cs="Arial"/>
        <w:b/>
        <w:bCs/>
        <w:color w:val="1C1C1C"/>
        <w:w w:val="100"/>
        <w:sz w:val="20"/>
        <w:szCs w:val="20"/>
        <w:lang w:val="en-US" w:eastAsia="en-US" w:bidi="en-US"/>
      </w:rPr>
    </w:lvl>
    <w:lvl w:ilvl="1">
      <w:start w:val="0"/>
      <w:numFmt w:val="bullet"/>
      <w:lvlText w:val="•"/>
      <w:lvlJc w:val="left"/>
      <w:pPr>
        <w:ind w:left="1820" w:hanging="721"/>
      </w:pPr>
      <w:rPr>
        <w:rFonts w:hint="default"/>
        <w:lang w:val="en-US" w:eastAsia="en-US" w:bidi="en-US"/>
      </w:rPr>
    </w:lvl>
    <w:lvl w:ilvl="2">
      <w:start w:val="0"/>
      <w:numFmt w:val="bullet"/>
      <w:lvlText w:val="•"/>
      <w:lvlJc w:val="left"/>
      <w:pPr>
        <w:ind w:left="2800" w:hanging="721"/>
      </w:pPr>
      <w:rPr>
        <w:rFonts w:hint="default"/>
        <w:lang w:val="en-US" w:eastAsia="en-US" w:bidi="en-US"/>
      </w:rPr>
    </w:lvl>
    <w:lvl w:ilvl="3">
      <w:start w:val="0"/>
      <w:numFmt w:val="bullet"/>
      <w:lvlText w:val="•"/>
      <w:lvlJc w:val="left"/>
      <w:pPr>
        <w:ind w:left="3780" w:hanging="721"/>
      </w:pPr>
      <w:rPr>
        <w:rFonts w:hint="default"/>
        <w:lang w:val="en-US" w:eastAsia="en-US" w:bidi="en-US"/>
      </w:rPr>
    </w:lvl>
    <w:lvl w:ilvl="4">
      <w:start w:val="0"/>
      <w:numFmt w:val="bullet"/>
      <w:lvlText w:val="•"/>
      <w:lvlJc w:val="left"/>
      <w:pPr>
        <w:ind w:left="4760" w:hanging="721"/>
      </w:pPr>
      <w:rPr>
        <w:rFonts w:hint="default"/>
        <w:lang w:val="en-US" w:eastAsia="en-US" w:bidi="en-US"/>
      </w:rPr>
    </w:lvl>
    <w:lvl w:ilvl="5">
      <w:start w:val="0"/>
      <w:numFmt w:val="bullet"/>
      <w:lvlText w:val="•"/>
      <w:lvlJc w:val="left"/>
      <w:pPr>
        <w:ind w:left="5740" w:hanging="721"/>
      </w:pPr>
      <w:rPr>
        <w:rFonts w:hint="default"/>
        <w:lang w:val="en-US" w:eastAsia="en-US" w:bidi="en-US"/>
      </w:rPr>
    </w:lvl>
    <w:lvl w:ilvl="6">
      <w:start w:val="0"/>
      <w:numFmt w:val="bullet"/>
      <w:lvlText w:val="•"/>
      <w:lvlJc w:val="left"/>
      <w:pPr>
        <w:ind w:left="6720" w:hanging="721"/>
      </w:pPr>
      <w:rPr>
        <w:rFonts w:hint="default"/>
        <w:lang w:val="en-US" w:eastAsia="en-US" w:bidi="en-US"/>
      </w:rPr>
    </w:lvl>
    <w:lvl w:ilvl="7">
      <w:start w:val="0"/>
      <w:numFmt w:val="bullet"/>
      <w:lvlText w:val="•"/>
      <w:lvlJc w:val="left"/>
      <w:pPr>
        <w:ind w:left="7700" w:hanging="721"/>
      </w:pPr>
      <w:rPr>
        <w:rFonts w:hint="default"/>
        <w:lang w:val="en-US" w:eastAsia="en-US" w:bidi="en-US"/>
      </w:rPr>
    </w:lvl>
    <w:lvl w:ilvl="8">
      <w:start w:val="0"/>
      <w:numFmt w:val="bullet"/>
      <w:lvlText w:val="•"/>
      <w:lvlJc w:val="left"/>
      <w:pPr>
        <w:ind w:left="8680" w:hanging="721"/>
      </w:pPr>
      <w:rPr>
        <w:rFonts w:hint="default"/>
        <w:lang w:val="en-US" w:eastAsia="en-US" w:bidi="en-US"/>
      </w:rPr>
    </w:lvl>
  </w:abstractNum>
  <w:abstractNum w:abstractNumId="13">
    <w:multiLevelType w:val="hybridMultilevel"/>
    <w:lvl w:ilvl="0">
      <w:start w:val="2"/>
      <w:numFmt w:val="lowerRoman"/>
      <w:lvlText w:val="%1)"/>
      <w:lvlJc w:val="left"/>
      <w:pPr>
        <w:ind w:left="1559" w:hanging="720"/>
        <w:jc w:val="left"/>
      </w:pPr>
      <w:rPr>
        <w:rFonts w:hint="default" w:ascii="Arial" w:hAnsi="Arial" w:eastAsia="Arial" w:cs="Arial"/>
        <w:color w:val="1C1C1C"/>
        <w:spacing w:val="-1"/>
        <w:w w:val="100"/>
        <w:sz w:val="20"/>
        <w:szCs w:val="20"/>
        <w:lang w:val="en-US" w:eastAsia="en-US" w:bidi="en-US"/>
      </w:rPr>
    </w:lvl>
    <w:lvl w:ilvl="1">
      <w:start w:val="0"/>
      <w:numFmt w:val="bullet"/>
      <w:lvlText w:val="•"/>
      <w:lvlJc w:val="left"/>
      <w:pPr>
        <w:ind w:left="2468" w:hanging="720"/>
      </w:pPr>
      <w:rPr>
        <w:rFonts w:hint="default"/>
        <w:lang w:val="en-US" w:eastAsia="en-US" w:bidi="en-US"/>
      </w:rPr>
    </w:lvl>
    <w:lvl w:ilvl="2">
      <w:start w:val="0"/>
      <w:numFmt w:val="bullet"/>
      <w:lvlText w:val="•"/>
      <w:lvlJc w:val="left"/>
      <w:pPr>
        <w:ind w:left="3376" w:hanging="720"/>
      </w:pPr>
      <w:rPr>
        <w:rFonts w:hint="default"/>
        <w:lang w:val="en-US" w:eastAsia="en-US" w:bidi="en-US"/>
      </w:rPr>
    </w:lvl>
    <w:lvl w:ilvl="3">
      <w:start w:val="0"/>
      <w:numFmt w:val="bullet"/>
      <w:lvlText w:val="•"/>
      <w:lvlJc w:val="left"/>
      <w:pPr>
        <w:ind w:left="4284" w:hanging="720"/>
      </w:pPr>
      <w:rPr>
        <w:rFonts w:hint="default"/>
        <w:lang w:val="en-US" w:eastAsia="en-US" w:bidi="en-US"/>
      </w:rPr>
    </w:lvl>
    <w:lvl w:ilvl="4">
      <w:start w:val="0"/>
      <w:numFmt w:val="bullet"/>
      <w:lvlText w:val="•"/>
      <w:lvlJc w:val="left"/>
      <w:pPr>
        <w:ind w:left="5192" w:hanging="720"/>
      </w:pPr>
      <w:rPr>
        <w:rFonts w:hint="default"/>
        <w:lang w:val="en-US" w:eastAsia="en-US" w:bidi="en-US"/>
      </w:rPr>
    </w:lvl>
    <w:lvl w:ilvl="5">
      <w:start w:val="0"/>
      <w:numFmt w:val="bullet"/>
      <w:lvlText w:val="•"/>
      <w:lvlJc w:val="left"/>
      <w:pPr>
        <w:ind w:left="6100" w:hanging="720"/>
      </w:pPr>
      <w:rPr>
        <w:rFonts w:hint="default"/>
        <w:lang w:val="en-US" w:eastAsia="en-US" w:bidi="en-US"/>
      </w:rPr>
    </w:lvl>
    <w:lvl w:ilvl="6">
      <w:start w:val="0"/>
      <w:numFmt w:val="bullet"/>
      <w:lvlText w:val="•"/>
      <w:lvlJc w:val="left"/>
      <w:pPr>
        <w:ind w:left="7008" w:hanging="720"/>
      </w:pPr>
      <w:rPr>
        <w:rFonts w:hint="default"/>
        <w:lang w:val="en-US" w:eastAsia="en-US" w:bidi="en-US"/>
      </w:rPr>
    </w:lvl>
    <w:lvl w:ilvl="7">
      <w:start w:val="0"/>
      <w:numFmt w:val="bullet"/>
      <w:lvlText w:val="•"/>
      <w:lvlJc w:val="left"/>
      <w:pPr>
        <w:ind w:left="7916" w:hanging="720"/>
      </w:pPr>
      <w:rPr>
        <w:rFonts w:hint="default"/>
        <w:lang w:val="en-US" w:eastAsia="en-US" w:bidi="en-US"/>
      </w:rPr>
    </w:lvl>
    <w:lvl w:ilvl="8">
      <w:start w:val="0"/>
      <w:numFmt w:val="bullet"/>
      <w:lvlText w:val="•"/>
      <w:lvlJc w:val="left"/>
      <w:pPr>
        <w:ind w:left="8824" w:hanging="720"/>
      </w:pPr>
      <w:rPr>
        <w:rFonts w:hint="default"/>
        <w:lang w:val="en-US" w:eastAsia="en-US" w:bidi="en-US"/>
      </w:rPr>
    </w:lvl>
  </w:abstractNum>
  <w:abstractNum w:abstractNumId="12">
    <w:multiLevelType w:val="hybridMultilevel"/>
    <w:lvl w:ilvl="0">
      <w:start w:val="1"/>
      <w:numFmt w:val="lowerRoman"/>
      <w:lvlText w:val="%1)"/>
      <w:lvlJc w:val="left"/>
      <w:pPr>
        <w:ind w:left="1560" w:hanging="721"/>
        <w:jc w:val="left"/>
      </w:pPr>
      <w:rPr>
        <w:rFonts w:hint="default"/>
        <w:spacing w:val="-1"/>
        <w:w w:val="100"/>
        <w:lang w:val="en-US" w:eastAsia="en-US" w:bidi="en-US"/>
      </w:rPr>
    </w:lvl>
    <w:lvl w:ilvl="1">
      <w:start w:val="0"/>
      <w:numFmt w:val="bullet"/>
      <w:lvlText w:val="•"/>
      <w:lvlJc w:val="left"/>
      <w:pPr>
        <w:ind w:left="2468" w:hanging="721"/>
      </w:pPr>
      <w:rPr>
        <w:rFonts w:hint="default"/>
        <w:lang w:val="en-US" w:eastAsia="en-US" w:bidi="en-US"/>
      </w:rPr>
    </w:lvl>
    <w:lvl w:ilvl="2">
      <w:start w:val="0"/>
      <w:numFmt w:val="bullet"/>
      <w:lvlText w:val="•"/>
      <w:lvlJc w:val="left"/>
      <w:pPr>
        <w:ind w:left="3376" w:hanging="721"/>
      </w:pPr>
      <w:rPr>
        <w:rFonts w:hint="default"/>
        <w:lang w:val="en-US" w:eastAsia="en-US" w:bidi="en-US"/>
      </w:rPr>
    </w:lvl>
    <w:lvl w:ilvl="3">
      <w:start w:val="0"/>
      <w:numFmt w:val="bullet"/>
      <w:lvlText w:val="•"/>
      <w:lvlJc w:val="left"/>
      <w:pPr>
        <w:ind w:left="4284" w:hanging="721"/>
      </w:pPr>
      <w:rPr>
        <w:rFonts w:hint="default"/>
        <w:lang w:val="en-US" w:eastAsia="en-US" w:bidi="en-US"/>
      </w:rPr>
    </w:lvl>
    <w:lvl w:ilvl="4">
      <w:start w:val="0"/>
      <w:numFmt w:val="bullet"/>
      <w:lvlText w:val="•"/>
      <w:lvlJc w:val="left"/>
      <w:pPr>
        <w:ind w:left="5192" w:hanging="721"/>
      </w:pPr>
      <w:rPr>
        <w:rFonts w:hint="default"/>
        <w:lang w:val="en-US" w:eastAsia="en-US" w:bidi="en-US"/>
      </w:rPr>
    </w:lvl>
    <w:lvl w:ilvl="5">
      <w:start w:val="0"/>
      <w:numFmt w:val="bullet"/>
      <w:lvlText w:val="•"/>
      <w:lvlJc w:val="left"/>
      <w:pPr>
        <w:ind w:left="6100" w:hanging="721"/>
      </w:pPr>
      <w:rPr>
        <w:rFonts w:hint="default"/>
        <w:lang w:val="en-US" w:eastAsia="en-US" w:bidi="en-US"/>
      </w:rPr>
    </w:lvl>
    <w:lvl w:ilvl="6">
      <w:start w:val="0"/>
      <w:numFmt w:val="bullet"/>
      <w:lvlText w:val="•"/>
      <w:lvlJc w:val="left"/>
      <w:pPr>
        <w:ind w:left="7008" w:hanging="721"/>
      </w:pPr>
      <w:rPr>
        <w:rFonts w:hint="default"/>
        <w:lang w:val="en-US" w:eastAsia="en-US" w:bidi="en-US"/>
      </w:rPr>
    </w:lvl>
    <w:lvl w:ilvl="7">
      <w:start w:val="0"/>
      <w:numFmt w:val="bullet"/>
      <w:lvlText w:val="•"/>
      <w:lvlJc w:val="left"/>
      <w:pPr>
        <w:ind w:left="7916" w:hanging="721"/>
      </w:pPr>
      <w:rPr>
        <w:rFonts w:hint="default"/>
        <w:lang w:val="en-US" w:eastAsia="en-US" w:bidi="en-US"/>
      </w:rPr>
    </w:lvl>
    <w:lvl w:ilvl="8">
      <w:start w:val="0"/>
      <w:numFmt w:val="bullet"/>
      <w:lvlText w:val="•"/>
      <w:lvlJc w:val="left"/>
      <w:pPr>
        <w:ind w:left="8824" w:hanging="721"/>
      </w:pPr>
      <w:rPr>
        <w:rFonts w:hint="default"/>
        <w:lang w:val="en-US" w:eastAsia="en-US" w:bidi="en-US"/>
      </w:rPr>
    </w:lvl>
  </w:abstractNum>
  <w:abstractNum w:abstractNumId="11">
    <w:multiLevelType w:val="hybridMultilevel"/>
    <w:lvl w:ilvl="0">
      <w:start w:val="1"/>
      <w:numFmt w:val="lowerLetter"/>
      <w:lvlText w:val="%1)"/>
      <w:lvlJc w:val="left"/>
      <w:pPr>
        <w:ind w:left="840" w:hanging="721"/>
        <w:jc w:val="left"/>
      </w:pPr>
      <w:rPr>
        <w:rFonts w:hint="default" w:ascii="Arial" w:hAnsi="Arial" w:eastAsia="Arial" w:cs="Arial"/>
        <w:b/>
        <w:bCs/>
        <w:w w:val="100"/>
        <w:sz w:val="20"/>
        <w:szCs w:val="20"/>
        <w:lang w:val="en-US" w:eastAsia="en-US" w:bidi="en-US"/>
      </w:rPr>
    </w:lvl>
    <w:lvl w:ilvl="1">
      <w:start w:val="0"/>
      <w:numFmt w:val="bullet"/>
      <w:lvlText w:val="•"/>
      <w:lvlJc w:val="left"/>
      <w:pPr>
        <w:ind w:left="1820" w:hanging="721"/>
      </w:pPr>
      <w:rPr>
        <w:rFonts w:hint="default"/>
        <w:lang w:val="en-US" w:eastAsia="en-US" w:bidi="en-US"/>
      </w:rPr>
    </w:lvl>
    <w:lvl w:ilvl="2">
      <w:start w:val="0"/>
      <w:numFmt w:val="bullet"/>
      <w:lvlText w:val="•"/>
      <w:lvlJc w:val="left"/>
      <w:pPr>
        <w:ind w:left="2800" w:hanging="721"/>
      </w:pPr>
      <w:rPr>
        <w:rFonts w:hint="default"/>
        <w:lang w:val="en-US" w:eastAsia="en-US" w:bidi="en-US"/>
      </w:rPr>
    </w:lvl>
    <w:lvl w:ilvl="3">
      <w:start w:val="0"/>
      <w:numFmt w:val="bullet"/>
      <w:lvlText w:val="•"/>
      <w:lvlJc w:val="left"/>
      <w:pPr>
        <w:ind w:left="3780" w:hanging="721"/>
      </w:pPr>
      <w:rPr>
        <w:rFonts w:hint="default"/>
        <w:lang w:val="en-US" w:eastAsia="en-US" w:bidi="en-US"/>
      </w:rPr>
    </w:lvl>
    <w:lvl w:ilvl="4">
      <w:start w:val="0"/>
      <w:numFmt w:val="bullet"/>
      <w:lvlText w:val="•"/>
      <w:lvlJc w:val="left"/>
      <w:pPr>
        <w:ind w:left="4760" w:hanging="721"/>
      </w:pPr>
      <w:rPr>
        <w:rFonts w:hint="default"/>
        <w:lang w:val="en-US" w:eastAsia="en-US" w:bidi="en-US"/>
      </w:rPr>
    </w:lvl>
    <w:lvl w:ilvl="5">
      <w:start w:val="0"/>
      <w:numFmt w:val="bullet"/>
      <w:lvlText w:val="•"/>
      <w:lvlJc w:val="left"/>
      <w:pPr>
        <w:ind w:left="5740" w:hanging="721"/>
      </w:pPr>
      <w:rPr>
        <w:rFonts w:hint="default"/>
        <w:lang w:val="en-US" w:eastAsia="en-US" w:bidi="en-US"/>
      </w:rPr>
    </w:lvl>
    <w:lvl w:ilvl="6">
      <w:start w:val="0"/>
      <w:numFmt w:val="bullet"/>
      <w:lvlText w:val="•"/>
      <w:lvlJc w:val="left"/>
      <w:pPr>
        <w:ind w:left="6720" w:hanging="721"/>
      </w:pPr>
      <w:rPr>
        <w:rFonts w:hint="default"/>
        <w:lang w:val="en-US" w:eastAsia="en-US" w:bidi="en-US"/>
      </w:rPr>
    </w:lvl>
    <w:lvl w:ilvl="7">
      <w:start w:val="0"/>
      <w:numFmt w:val="bullet"/>
      <w:lvlText w:val="•"/>
      <w:lvlJc w:val="left"/>
      <w:pPr>
        <w:ind w:left="7700" w:hanging="721"/>
      </w:pPr>
      <w:rPr>
        <w:rFonts w:hint="default"/>
        <w:lang w:val="en-US" w:eastAsia="en-US" w:bidi="en-US"/>
      </w:rPr>
    </w:lvl>
    <w:lvl w:ilvl="8">
      <w:start w:val="0"/>
      <w:numFmt w:val="bullet"/>
      <w:lvlText w:val="•"/>
      <w:lvlJc w:val="left"/>
      <w:pPr>
        <w:ind w:left="8680" w:hanging="721"/>
      </w:pPr>
      <w:rPr>
        <w:rFonts w:hint="default"/>
        <w:lang w:val="en-US" w:eastAsia="en-US" w:bidi="en-US"/>
      </w:rPr>
    </w:lvl>
  </w:abstractNum>
  <w:abstractNum w:abstractNumId="10">
    <w:multiLevelType w:val="hybridMultilevel"/>
    <w:lvl w:ilvl="0">
      <w:start w:val="1"/>
      <w:numFmt w:val="lowerLetter"/>
      <w:lvlText w:val="%1)"/>
      <w:lvlJc w:val="left"/>
      <w:pPr>
        <w:ind w:left="840" w:hanging="721"/>
        <w:jc w:val="left"/>
      </w:pPr>
      <w:rPr>
        <w:rFonts w:hint="default" w:ascii="Arial" w:hAnsi="Arial" w:eastAsia="Arial" w:cs="Arial"/>
        <w:b/>
        <w:bCs/>
        <w:w w:val="100"/>
        <w:sz w:val="20"/>
        <w:szCs w:val="20"/>
        <w:lang w:val="en-US" w:eastAsia="en-US" w:bidi="en-US"/>
      </w:rPr>
    </w:lvl>
    <w:lvl w:ilvl="1">
      <w:start w:val="0"/>
      <w:numFmt w:val="bullet"/>
      <w:lvlText w:val="•"/>
      <w:lvlJc w:val="left"/>
      <w:pPr>
        <w:ind w:left="1820" w:hanging="721"/>
      </w:pPr>
      <w:rPr>
        <w:rFonts w:hint="default"/>
        <w:lang w:val="en-US" w:eastAsia="en-US" w:bidi="en-US"/>
      </w:rPr>
    </w:lvl>
    <w:lvl w:ilvl="2">
      <w:start w:val="0"/>
      <w:numFmt w:val="bullet"/>
      <w:lvlText w:val="•"/>
      <w:lvlJc w:val="left"/>
      <w:pPr>
        <w:ind w:left="2800" w:hanging="721"/>
      </w:pPr>
      <w:rPr>
        <w:rFonts w:hint="default"/>
        <w:lang w:val="en-US" w:eastAsia="en-US" w:bidi="en-US"/>
      </w:rPr>
    </w:lvl>
    <w:lvl w:ilvl="3">
      <w:start w:val="0"/>
      <w:numFmt w:val="bullet"/>
      <w:lvlText w:val="•"/>
      <w:lvlJc w:val="left"/>
      <w:pPr>
        <w:ind w:left="3780" w:hanging="721"/>
      </w:pPr>
      <w:rPr>
        <w:rFonts w:hint="default"/>
        <w:lang w:val="en-US" w:eastAsia="en-US" w:bidi="en-US"/>
      </w:rPr>
    </w:lvl>
    <w:lvl w:ilvl="4">
      <w:start w:val="0"/>
      <w:numFmt w:val="bullet"/>
      <w:lvlText w:val="•"/>
      <w:lvlJc w:val="left"/>
      <w:pPr>
        <w:ind w:left="4760" w:hanging="721"/>
      </w:pPr>
      <w:rPr>
        <w:rFonts w:hint="default"/>
        <w:lang w:val="en-US" w:eastAsia="en-US" w:bidi="en-US"/>
      </w:rPr>
    </w:lvl>
    <w:lvl w:ilvl="5">
      <w:start w:val="0"/>
      <w:numFmt w:val="bullet"/>
      <w:lvlText w:val="•"/>
      <w:lvlJc w:val="left"/>
      <w:pPr>
        <w:ind w:left="5740" w:hanging="721"/>
      </w:pPr>
      <w:rPr>
        <w:rFonts w:hint="default"/>
        <w:lang w:val="en-US" w:eastAsia="en-US" w:bidi="en-US"/>
      </w:rPr>
    </w:lvl>
    <w:lvl w:ilvl="6">
      <w:start w:val="0"/>
      <w:numFmt w:val="bullet"/>
      <w:lvlText w:val="•"/>
      <w:lvlJc w:val="left"/>
      <w:pPr>
        <w:ind w:left="6720" w:hanging="721"/>
      </w:pPr>
      <w:rPr>
        <w:rFonts w:hint="default"/>
        <w:lang w:val="en-US" w:eastAsia="en-US" w:bidi="en-US"/>
      </w:rPr>
    </w:lvl>
    <w:lvl w:ilvl="7">
      <w:start w:val="0"/>
      <w:numFmt w:val="bullet"/>
      <w:lvlText w:val="•"/>
      <w:lvlJc w:val="left"/>
      <w:pPr>
        <w:ind w:left="7700" w:hanging="721"/>
      </w:pPr>
      <w:rPr>
        <w:rFonts w:hint="default"/>
        <w:lang w:val="en-US" w:eastAsia="en-US" w:bidi="en-US"/>
      </w:rPr>
    </w:lvl>
    <w:lvl w:ilvl="8">
      <w:start w:val="0"/>
      <w:numFmt w:val="bullet"/>
      <w:lvlText w:val="•"/>
      <w:lvlJc w:val="left"/>
      <w:pPr>
        <w:ind w:left="8680" w:hanging="721"/>
      </w:pPr>
      <w:rPr>
        <w:rFonts w:hint="default"/>
        <w:lang w:val="en-US" w:eastAsia="en-US" w:bidi="en-US"/>
      </w:rPr>
    </w:lvl>
  </w:abstractNum>
  <w:abstractNum w:abstractNumId="9">
    <w:multiLevelType w:val="hybridMultilevel"/>
    <w:lvl w:ilvl="0">
      <w:start w:val="1"/>
      <w:numFmt w:val="lowerLetter"/>
      <w:lvlText w:val="%1)"/>
      <w:lvlJc w:val="left"/>
      <w:pPr>
        <w:ind w:left="839" w:hanging="721"/>
        <w:jc w:val="left"/>
      </w:pPr>
      <w:rPr>
        <w:rFonts w:hint="default" w:ascii="Arial" w:hAnsi="Arial" w:eastAsia="Arial" w:cs="Arial"/>
        <w:i/>
        <w:w w:val="100"/>
        <w:sz w:val="20"/>
        <w:szCs w:val="20"/>
        <w:lang w:val="en-US" w:eastAsia="en-US" w:bidi="en-US"/>
      </w:rPr>
    </w:lvl>
    <w:lvl w:ilvl="1">
      <w:start w:val="0"/>
      <w:numFmt w:val="bullet"/>
      <w:lvlText w:val="•"/>
      <w:lvlJc w:val="left"/>
      <w:pPr>
        <w:ind w:left="1820" w:hanging="721"/>
      </w:pPr>
      <w:rPr>
        <w:rFonts w:hint="default"/>
        <w:lang w:val="en-US" w:eastAsia="en-US" w:bidi="en-US"/>
      </w:rPr>
    </w:lvl>
    <w:lvl w:ilvl="2">
      <w:start w:val="0"/>
      <w:numFmt w:val="bullet"/>
      <w:lvlText w:val="•"/>
      <w:lvlJc w:val="left"/>
      <w:pPr>
        <w:ind w:left="2800" w:hanging="721"/>
      </w:pPr>
      <w:rPr>
        <w:rFonts w:hint="default"/>
        <w:lang w:val="en-US" w:eastAsia="en-US" w:bidi="en-US"/>
      </w:rPr>
    </w:lvl>
    <w:lvl w:ilvl="3">
      <w:start w:val="0"/>
      <w:numFmt w:val="bullet"/>
      <w:lvlText w:val="•"/>
      <w:lvlJc w:val="left"/>
      <w:pPr>
        <w:ind w:left="3780" w:hanging="721"/>
      </w:pPr>
      <w:rPr>
        <w:rFonts w:hint="default"/>
        <w:lang w:val="en-US" w:eastAsia="en-US" w:bidi="en-US"/>
      </w:rPr>
    </w:lvl>
    <w:lvl w:ilvl="4">
      <w:start w:val="0"/>
      <w:numFmt w:val="bullet"/>
      <w:lvlText w:val="•"/>
      <w:lvlJc w:val="left"/>
      <w:pPr>
        <w:ind w:left="4760" w:hanging="721"/>
      </w:pPr>
      <w:rPr>
        <w:rFonts w:hint="default"/>
        <w:lang w:val="en-US" w:eastAsia="en-US" w:bidi="en-US"/>
      </w:rPr>
    </w:lvl>
    <w:lvl w:ilvl="5">
      <w:start w:val="0"/>
      <w:numFmt w:val="bullet"/>
      <w:lvlText w:val="•"/>
      <w:lvlJc w:val="left"/>
      <w:pPr>
        <w:ind w:left="5740" w:hanging="721"/>
      </w:pPr>
      <w:rPr>
        <w:rFonts w:hint="default"/>
        <w:lang w:val="en-US" w:eastAsia="en-US" w:bidi="en-US"/>
      </w:rPr>
    </w:lvl>
    <w:lvl w:ilvl="6">
      <w:start w:val="0"/>
      <w:numFmt w:val="bullet"/>
      <w:lvlText w:val="•"/>
      <w:lvlJc w:val="left"/>
      <w:pPr>
        <w:ind w:left="6720" w:hanging="721"/>
      </w:pPr>
      <w:rPr>
        <w:rFonts w:hint="default"/>
        <w:lang w:val="en-US" w:eastAsia="en-US" w:bidi="en-US"/>
      </w:rPr>
    </w:lvl>
    <w:lvl w:ilvl="7">
      <w:start w:val="0"/>
      <w:numFmt w:val="bullet"/>
      <w:lvlText w:val="•"/>
      <w:lvlJc w:val="left"/>
      <w:pPr>
        <w:ind w:left="7700" w:hanging="721"/>
      </w:pPr>
      <w:rPr>
        <w:rFonts w:hint="default"/>
        <w:lang w:val="en-US" w:eastAsia="en-US" w:bidi="en-US"/>
      </w:rPr>
    </w:lvl>
    <w:lvl w:ilvl="8">
      <w:start w:val="0"/>
      <w:numFmt w:val="bullet"/>
      <w:lvlText w:val="•"/>
      <w:lvlJc w:val="left"/>
      <w:pPr>
        <w:ind w:left="8680" w:hanging="721"/>
      </w:pPr>
      <w:rPr>
        <w:rFonts w:hint="default"/>
        <w:lang w:val="en-US" w:eastAsia="en-US" w:bidi="en-US"/>
      </w:rPr>
    </w:lvl>
  </w:abstractNum>
  <w:abstractNum w:abstractNumId="8">
    <w:multiLevelType w:val="hybridMultilevel"/>
    <w:lvl w:ilvl="0">
      <w:start w:val="1"/>
      <w:numFmt w:val="lowerLetter"/>
      <w:lvlText w:val="%1)"/>
      <w:lvlJc w:val="left"/>
      <w:pPr>
        <w:ind w:left="840" w:hanging="721"/>
        <w:jc w:val="left"/>
      </w:pPr>
      <w:rPr>
        <w:rFonts w:hint="default" w:ascii="Arial" w:hAnsi="Arial" w:eastAsia="Arial" w:cs="Arial"/>
        <w:b/>
        <w:bCs/>
        <w:w w:val="100"/>
        <w:sz w:val="20"/>
        <w:szCs w:val="20"/>
        <w:lang w:val="en-US" w:eastAsia="en-US" w:bidi="en-US"/>
      </w:rPr>
    </w:lvl>
    <w:lvl w:ilvl="1">
      <w:start w:val="0"/>
      <w:numFmt w:val="bullet"/>
      <w:lvlText w:val="•"/>
      <w:lvlJc w:val="left"/>
      <w:pPr>
        <w:ind w:left="1820" w:hanging="721"/>
      </w:pPr>
      <w:rPr>
        <w:rFonts w:hint="default"/>
        <w:lang w:val="en-US" w:eastAsia="en-US" w:bidi="en-US"/>
      </w:rPr>
    </w:lvl>
    <w:lvl w:ilvl="2">
      <w:start w:val="0"/>
      <w:numFmt w:val="bullet"/>
      <w:lvlText w:val="•"/>
      <w:lvlJc w:val="left"/>
      <w:pPr>
        <w:ind w:left="2800" w:hanging="721"/>
      </w:pPr>
      <w:rPr>
        <w:rFonts w:hint="default"/>
        <w:lang w:val="en-US" w:eastAsia="en-US" w:bidi="en-US"/>
      </w:rPr>
    </w:lvl>
    <w:lvl w:ilvl="3">
      <w:start w:val="0"/>
      <w:numFmt w:val="bullet"/>
      <w:lvlText w:val="•"/>
      <w:lvlJc w:val="left"/>
      <w:pPr>
        <w:ind w:left="3780" w:hanging="721"/>
      </w:pPr>
      <w:rPr>
        <w:rFonts w:hint="default"/>
        <w:lang w:val="en-US" w:eastAsia="en-US" w:bidi="en-US"/>
      </w:rPr>
    </w:lvl>
    <w:lvl w:ilvl="4">
      <w:start w:val="0"/>
      <w:numFmt w:val="bullet"/>
      <w:lvlText w:val="•"/>
      <w:lvlJc w:val="left"/>
      <w:pPr>
        <w:ind w:left="4760" w:hanging="721"/>
      </w:pPr>
      <w:rPr>
        <w:rFonts w:hint="default"/>
        <w:lang w:val="en-US" w:eastAsia="en-US" w:bidi="en-US"/>
      </w:rPr>
    </w:lvl>
    <w:lvl w:ilvl="5">
      <w:start w:val="0"/>
      <w:numFmt w:val="bullet"/>
      <w:lvlText w:val="•"/>
      <w:lvlJc w:val="left"/>
      <w:pPr>
        <w:ind w:left="5740" w:hanging="721"/>
      </w:pPr>
      <w:rPr>
        <w:rFonts w:hint="default"/>
        <w:lang w:val="en-US" w:eastAsia="en-US" w:bidi="en-US"/>
      </w:rPr>
    </w:lvl>
    <w:lvl w:ilvl="6">
      <w:start w:val="0"/>
      <w:numFmt w:val="bullet"/>
      <w:lvlText w:val="•"/>
      <w:lvlJc w:val="left"/>
      <w:pPr>
        <w:ind w:left="6720" w:hanging="721"/>
      </w:pPr>
      <w:rPr>
        <w:rFonts w:hint="default"/>
        <w:lang w:val="en-US" w:eastAsia="en-US" w:bidi="en-US"/>
      </w:rPr>
    </w:lvl>
    <w:lvl w:ilvl="7">
      <w:start w:val="0"/>
      <w:numFmt w:val="bullet"/>
      <w:lvlText w:val="•"/>
      <w:lvlJc w:val="left"/>
      <w:pPr>
        <w:ind w:left="7700" w:hanging="721"/>
      </w:pPr>
      <w:rPr>
        <w:rFonts w:hint="default"/>
        <w:lang w:val="en-US" w:eastAsia="en-US" w:bidi="en-US"/>
      </w:rPr>
    </w:lvl>
    <w:lvl w:ilvl="8">
      <w:start w:val="0"/>
      <w:numFmt w:val="bullet"/>
      <w:lvlText w:val="•"/>
      <w:lvlJc w:val="left"/>
      <w:pPr>
        <w:ind w:left="8680" w:hanging="721"/>
      </w:pPr>
      <w:rPr>
        <w:rFonts w:hint="default"/>
        <w:lang w:val="en-US" w:eastAsia="en-US" w:bidi="en-US"/>
      </w:rPr>
    </w:lvl>
  </w:abstractNum>
  <w:abstractNum w:abstractNumId="7">
    <w:multiLevelType w:val="hybridMultilevel"/>
    <w:lvl w:ilvl="0">
      <w:start w:val="1"/>
      <w:numFmt w:val="lowerLetter"/>
      <w:lvlText w:val="%1)"/>
      <w:lvlJc w:val="left"/>
      <w:pPr>
        <w:ind w:left="840" w:hanging="721"/>
        <w:jc w:val="left"/>
      </w:pPr>
      <w:rPr>
        <w:rFonts w:hint="default" w:ascii="Arial" w:hAnsi="Arial" w:eastAsia="Arial" w:cs="Arial"/>
        <w:w w:val="100"/>
        <w:sz w:val="20"/>
        <w:szCs w:val="20"/>
        <w:lang w:val="en-US" w:eastAsia="en-US" w:bidi="en-US"/>
      </w:rPr>
    </w:lvl>
    <w:lvl w:ilvl="1">
      <w:start w:val="0"/>
      <w:numFmt w:val="bullet"/>
      <w:lvlText w:val="•"/>
      <w:lvlJc w:val="left"/>
      <w:pPr>
        <w:ind w:left="1820" w:hanging="721"/>
      </w:pPr>
      <w:rPr>
        <w:rFonts w:hint="default"/>
        <w:lang w:val="en-US" w:eastAsia="en-US" w:bidi="en-US"/>
      </w:rPr>
    </w:lvl>
    <w:lvl w:ilvl="2">
      <w:start w:val="0"/>
      <w:numFmt w:val="bullet"/>
      <w:lvlText w:val="•"/>
      <w:lvlJc w:val="left"/>
      <w:pPr>
        <w:ind w:left="2800" w:hanging="721"/>
      </w:pPr>
      <w:rPr>
        <w:rFonts w:hint="default"/>
        <w:lang w:val="en-US" w:eastAsia="en-US" w:bidi="en-US"/>
      </w:rPr>
    </w:lvl>
    <w:lvl w:ilvl="3">
      <w:start w:val="0"/>
      <w:numFmt w:val="bullet"/>
      <w:lvlText w:val="•"/>
      <w:lvlJc w:val="left"/>
      <w:pPr>
        <w:ind w:left="3780" w:hanging="721"/>
      </w:pPr>
      <w:rPr>
        <w:rFonts w:hint="default"/>
        <w:lang w:val="en-US" w:eastAsia="en-US" w:bidi="en-US"/>
      </w:rPr>
    </w:lvl>
    <w:lvl w:ilvl="4">
      <w:start w:val="0"/>
      <w:numFmt w:val="bullet"/>
      <w:lvlText w:val="•"/>
      <w:lvlJc w:val="left"/>
      <w:pPr>
        <w:ind w:left="4760" w:hanging="721"/>
      </w:pPr>
      <w:rPr>
        <w:rFonts w:hint="default"/>
        <w:lang w:val="en-US" w:eastAsia="en-US" w:bidi="en-US"/>
      </w:rPr>
    </w:lvl>
    <w:lvl w:ilvl="5">
      <w:start w:val="0"/>
      <w:numFmt w:val="bullet"/>
      <w:lvlText w:val="•"/>
      <w:lvlJc w:val="left"/>
      <w:pPr>
        <w:ind w:left="5740" w:hanging="721"/>
      </w:pPr>
      <w:rPr>
        <w:rFonts w:hint="default"/>
        <w:lang w:val="en-US" w:eastAsia="en-US" w:bidi="en-US"/>
      </w:rPr>
    </w:lvl>
    <w:lvl w:ilvl="6">
      <w:start w:val="0"/>
      <w:numFmt w:val="bullet"/>
      <w:lvlText w:val="•"/>
      <w:lvlJc w:val="left"/>
      <w:pPr>
        <w:ind w:left="6720" w:hanging="721"/>
      </w:pPr>
      <w:rPr>
        <w:rFonts w:hint="default"/>
        <w:lang w:val="en-US" w:eastAsia="en-US" w:bidi="en-US"/>
      </w:rPr>
    </w:lvl>
    <w:lvl w:ilvl="7">
      <w:start w:val="0"/>
      <w:numFmt w:val="bullet"/>
      <w:lvlText w:val="•"/>
      <w:lvlJc w:val="left"/>
      <w:pPr>
        <w:ind w:left="7700" w:hanging="721"/>
      </w:pPr>
      <w:rPr>
        <w:rFonts w:hint="default"/>
        <w:lang w:val="en-US" w:eastAsia="en-US" w:bidi="en-US"/>
      </w:rPr>
    </w:lvl>
    <w:lvl w:ilvl="8">
      <w:start w:val="0"/>
      <w:numFmt w:val="bullet"/>
      <w:lvlText w:val="•"/>
      <w:lvlJc w:val="left"/>
      <w:pPr>
        <w:ind w:left="8680" w:hanging="721"/>
      </w:pPr>
      <w:rPr>
        <w:rFonts w:hint="default"/>
        <w:lang w:val="en-US" w:eastAsia="en-US" w:bidi="en-US"/>
      </w:rPr>
    </w:lvl>
  </w:abstractNum>
  <w:abstractNum w:abstractNumId="6">
    <w:multiLevelType w:val="hybridMultilevel"/>
    <w:lvl w:ilvl="0">
      <w:start w:val="1"/>
      <w:numFmt w:val="lowerLetter"/>
      <w:lvlText w:val="%1)"/>
      <w:lvlJc w:val="left"/>
      <w:pPr>
        <w:ind w:left="840" w:hanging="721"/>
        <w:jc w:val="left"/>
      </w:pPr>
      <w:rPr>
        <w:rFonts w:hint="default"/>
        <w:w w:val="100"/>
        <w:lang w:val="en-US" w:eastAsia="en-US" w:bidi="en-US"/>
      </w:rPr>
    </w:lvl>
    <w:lvl w:ilvl="1">
      <w:start w:val="0"/>
      <w:numFmt w:val="bullet"/>
      <w:lvlText w:val="•"/>
      <w:lvlJc w:val="left"/>
      <w:pPr>
        <w:ind w:left="1820" w:hanging="721"/>
      </w:pPr>
      <w:rPr>
        <w:rFonts w:hint="default"/>
        <w:lang w:val="en-US" w:eastAsia="en-US" w:bidi="en-US"/>
      </w:rPr>
    </w:lvl>
    <w:lvl w:ilvl="2">
      <w:start w:val="0"/>
      <w:numFmt w:val="bullet"/>
      <w:lvlText w:val="•"/>
      <w:lvlJc w:val="left"/>
      <w:pPr>
        <w:ind w:left="2800" w:hanging="721"/>
      </w:pPr>
      <w:rPr>
        <w:rFonts w:hint="default"/>
        <w:lang w:val="en-US" w:eastAsia="en-US" w:bidi="en-US"/>
      </w:rPr>
    </w:lvl>
    <w:lvl w:ilvl="3">
      <w:start w:val="0"/>
      <w:numFmt w:val="bullet"/>
      <w:lvlText w:val="•"/>
      <w:lvlJc w:val="left"/>
      <w:pPr>
        <w:ind w:left="3780" w:hanging="721"/>
      </w:pPr>
      <w:rPr>
        <w:rFonts w:hint="default"/>
        <w:lang w:val="en-US" w:eastAsia="en-US" w:bidi="en-US"/>
      </w:rPr>
    </w:lvl>
    <w:lvl w:ilvl="4">
      <w:start w:val="0"/>
      <w:numFmt w:val="bullet"/>
      <w:lvlText w:val="•"/>
      <w:lvlJc w:val="left"/>
      <w:pPr>
        <w:ind w:left="4760" w:hanging="721"/>
      </w:pPr>
      <w:rPr>
        <w:rFonts w:hint="default"/>
        <w:lang w:val="en-US" w:eastAsia="en-US" w:bidi="en-US"/>
      </w:rPr>
    </w:lvl>
    <w:lvl w:ilvl="5">
      <w:start w:val="0"/>
      <w:numFmt w:val="bullet"/>
      <w:lvlText w:val="•"/>
      <w:lvlJc w:val="left"/>
      <w:pPr>
        <w:ind w:left="5740" w:hanging="721"/>
      </w:pPr>
      <w:rPr>
        <w:rFonts w:hint="default"/>
        <w:lang w:val="en-US" w:eastAsia="en-US" w:bidi="en-US"/>
      </w:rPr>
    </w:lvl>
    <w:lvl w:ilvl="6">
      <w:start w:val="0"/>
      <w:numFmt w:val="bullet"/>
      <w:lvlText w:val="•"/>
      <w:lvlJc w:val="left"/>
      <w:pPr>
        <w:ind w:left="6720" w:hanging="721"/>
      </w:pPr>
      <w:rPr>
        <w:rFonts w:hint="default"/>
        <w:lang w:val="en-US" w:eastAsia="en-US" w:bidi="en-US"/>
      </w:rPr>
    </w:lvl>
    <w:lvl w:ilvl="7">
      <w:start w:val="0"/>
      <w:numFmt w:val="bullet"/>
      <w:lvlText w:val="•"/>
      <w:lvlJc w:val="left"/>
      <w:pPr>
        <w:ind w:left="7700" w:hanging="721"/>
      </w:pPr>
      <w:rPr>
        <w:rFonts w:hint="default"/>
        <w:lang w:val="en-US" w:eastAsia="en-US" w:bidi="en-US"/>
      </w:rPr>
    </w:lvl>
    <w:lvl w:ilvl="8">
      <w:start w:val="0"/>
      <w:numFmt w:val="bullet"/>
      <w:lvlText w:val="•"/>
      <w:lvlJc w:val="left"/>
      <w:pPr>
        <w:ind w:left="8680" w:hanging="721"/>
      </w:pPr>
      <w:rPr>
        <w:rFonts w:hint="default"/>
        <w:lang w:val="en-US" w:eastAsia="en-US" w:bidi="en-US"/>
      </w:rPr>
    </w:lvl>
  </w:abstractNum>
  <w:abstractNum w:abstractNumId="5">
    <w:multiLevelType w:val="hybridMultilevel"/>
    <w:lvl w:ilvl="0">
      <w:start w:val="11"/>
      <w:numFmt w:val="lowerLetter"/>
      <w:lvlText w:val="%1)"/>
      <w:lvlJc w:val="left"/>
      <w:pPr>
        <w:ind w:left="839" w:hanging="720"/>
        <w:jc w:val="left"/>
      </w:pPr>
      <w:rPr>
        <w:rFonts w:hint="default" w:ascii="Arial" w:hAnsi="Arial" w:eastAsia="Arial" w:cs="Arial"/>
        <w:w w:val="100"/>
        <w:sz w:val="20"/>
        <w:szCs w:val="20"/>
        <w:lang w:val="en-US" w:eastAsia="en-US" w:bidi="en-US"/>
      </w:rPr>
    </w:lvl>
    <w:lvl w:ilvl="1">
      <w:start w:val="0"/>
      <w:numFmt w:val="bullet"/>
      <w:lvlText w:val="•"/>
      <w:lvlJc w:val="left"/>
      <w:pPr>
        <w:ind w:left="1820" w:hanging="720"/>
      </w:pPr>
      <w:rPr>
        <w:rFonts w:hint="default"/>
        <w:lang w:val="en-US" w:eastAsia="en-US" w:bidi="en-US"/>
      </w:rPr>
    </w:lvl>
    <w:lvl w:ilvl="2">
      <w:start w:val="0"/>
      <w:numFmt w:val="bullet"/>
      <w:lvlText w:val="•"/>
      <w:lvlJc w:val="left"/>
      <w:pPr>
        <w:ind w:left="2800" w:hanging="720"/>
      </w:pPr>
      <w:rPr>
        <w:rFonts w:hint="default"/>
        <w:lang w:val="en-US" w:eastAsia="en-US" w:bidi="en-US"/>
      </w:rPr>
    </w:lvl>
    <w:lvl w:ilvl="3">
      <w:start w:val="0"/>
      <w:numFmt w:val="bullet"/>
      <w:lvlText w:val="•"/>
      <w:lvlJc w:val="left"/>
      <w:pPr>
        <w:ind w:left="3780" w:hanging="720"/>
      </w:pPr>
      <w:rPr>
        <w:rFonts w:hint="default"/>
        <w:lang w:val="en-US" w:eastAsia="en-US" w:bidi="en-US"/>
      </w:rPr>
    </w:lvl>
    <w:lvl w:ilvl="4">
      <w:start w:val="0"/>
      <w:numFmt w:val="bullet"/>
      <w:lvlText w:val="•"/>
      <w:lvlJc w:val="left"/>
      <w:pPr>
        <w:ind w:left="4760" w:hanging="720"/>
      </w:pPr>
      <w:rPr>
        <w:rFonts w:hint="default"/>
        <w:lang w:val="en-US" w:eastAsia="en-US" w:bidi="en-US"/>
      </w:rPr>
    </w:lvl>
    <w:lvl w:ilvl="5">
      <w:start w:val="0"/>
      <w:numFmt w:val="bullet"/>
      <w:lvlText w:val="•"/>
      <w:lvlJc w:val="left"/>
      <w:pPr>
        <w:ind w:left="5740" w:hanging="720"/>
      </w:pPr>
      <w:rPr>
        <w:rFonts w:hint="default"/>
        <w:lang w:val="en-US" w:eastAsia="en-US" w:bidi="en-US"/>
      </w:rPr>
    </w:lvl>
    <w:lvl w:ilvl="6">
      <w:start w:val="0"/>
      <w:numFmt w:val="bullet"/>
      <w:lvlText w:val="•"/>
      <w:lvlJc w:val="left"/>
      <w:pPr>
        <w:ind w:left="6720" w:hanging="720"/>
      </w:pPr>
      <w:rPr>
        <w:rFonts w:hint="default"/>
        <w:lang w:val="en-US" w:eastAsia="en-US" w:bidi="en-US"/>
      </w:rPr>
    </w:lvl>
    <w:lvl w:ilvl="7">
      <w:start w:val="0"/>
      <w:numFmt w:val="bullet"/>
      <w:lvlText w:val="•"/>
      <w:lvlJc w:val="left"/>
      <w:pPr>
        <w:ind w:left="7700" w:hanging="720"/>
      </w:pPr>
      <w:rPr>
        <w:rFonts w:hint="default"/>
        <w:lang w:val="en-US" w:eastAsia="en-US" w:bidi="en-US"/>
      </w:rPr>
    </w:lvl>
    <w:lvl w:ilvl="8">
      <w:start w:val="0"/>
      <w:numFmt w:val="bullet"/>
      <w:lvlText w:val="•"/>
      <w:lvlJc w:val="left"/>
      <w:pPr>
        <w:ind w:left="8680" w:hanging="720"/>
      </w:pPr>
      <w:rPr>
        <w:rFonts w:hint="default"/>
        <w:lang w:val="en-US" w:eastAsia="en-US" w:bidi="en-US"/>
      </w:rPr>
    </w:lvl>
  </w:abstractNum>
  <w:abstractNum w:abstractNumId="4">
    <w:multiLevelType w:val="hybridMultilevel"/>
    <w:lvl w:ilvl="0">
      <w:start w:val="9"/>
      <w:numFmt w:val="lowerLetter"/>
      <w:lvlText w:val="%1)"/>
      <w:lvlJc w:val="left"/>
      <w:pPr>
        <w:ind w:left="840" w:hanging="721"/>
        <w:jc w:val="left"/>
      </w:pPr>
      <w:rPr>
        <w:rFonts w:hint="default"/>
        <w:spacing w:val="-1"/>
        <w:w w:val="100"/>
        <w:lang w:val="en-US" w:eastAsia="en-US" w:bidi="en-US"/>
      </w:rPr>
    </w:lvl>
    <w:lvl w:ilvl="1">
      <w:start w:val="0"/>
      <w:numFmt w:val="bullet"/>
      <w:lvlText w:val="•"/>
      <w:lvlJc w:val="left"/>
      <w:pPr>
        <w:ind w:left="1820" w:hanging="721"/>
      </w:pPr>
      <w:rPr>
        <w:rFonts w:hint="default"/>
        <w:lang w:val="en-US" w:eastAsia="en-US" w:bidi="en-US"/>
      </w:rPr>
    </w:lvl>
    <w:lvl w:ilvl="2">
      <w:start w:val="0"/>
      <w:numFmt w:val="bullet"/>
      <w:lvlText w:val="•"/>
      <w:lvlJc w:val="left"/>
      <w:pPr>
        <w:ind w:left="2800" w:hanging="721"/>
      </w:pPr>
      <w:rPr>
        <w:rFonts w:hint="default"/>
        <w:lang w:val="en-US" w:eastAsia="en-US" w:bidi="en-US"/>
      </w:rPr>
    </w:lvl>
    <w:lvl w:ilvl="3">
      <w:start w:val="0"/>
      <w:numFmt w:val="bullet"/>
      <w:lvlText w:val="•"/>
      <w:lvlJc w:val="left"/>
      <w:pPr>
        <w:ind w:left="3780" w:hanging="721"/>
      </w:pPr>
      <w:rPr>
        <w:rFonts w:hint="default"/>
        <w:lang w:val="en-US" w:eastAsia="en-US" w:bidi="en-US"/>
      </w:rPr>
    </w:lvl>
    <w:lvl w:ilvl="4">
      <w:start w:val="0"/>
      <w:numFmt w:val="bullet"/>
      <w:lvlText w:val="•"/>
      <w:lvlJc w:val="left"/>
      <w:pPr>
        <w:ind w:left="4760" w:hanging="721"/>
      </w:pPr>
      <w:rPr>
        <w:rFonts w:hint="default"/>
        <w:lang w:val="en-US" w:eastAsia="en-US" w:bidi="en-US"/>
      </w:rPr>
    </w:lvl>
    <w:lvl w:ilvl="5">
      <w:start w:val="0"/>
      <w:numFmt w:val="bullet"/>
      <w:lvlText w:val="•"/>
      <w:lvlJc w:val="left"/>
      <w:pPr>
        <w:ind w:left="5740" w:hanging="721"/>
      </w:pPr>
      <w:rPr>
        <w:rFonts w:hint="default"/>
        <w:lang w:val="en-US" w:eastAsia="en-US" w:bidi="en-US"/>
      </w:rPr>
    </w:lvl>
    <w:lvl w:ilvl="6">
      <w:start w:val="0"/>
      <w:numFmt w:val="bullet"/>
      <w:lvlText w:val="•"/>
      <w:lvlJc w:val="left"/>
      <w:pPr>
        <w:ind w:left="6720" w:hanging="721"/>
      </w:pPr>
      <w:rPr>
        <w:rFonts w:hint="default"/>
        <w:lang w:val="en-US" w:eastAsia="en-US" w:bidi="en-US"/>
      </w:rPr>
    </w:lvl>
    <w:lvl w:ilvl="7">
      <w:start w:val="0"/>
      <w:numFmt w:val="bullet"/>
      <w:lvlText w:val="•"/>
      <w:lvlJc w:val="left"/>
      <w:pPr>
        <w:ind w:left="7700" w:hanging="721"/>
      </w:pPr>
      <w:rPr>
        <w:rFonts w:hint="default"/>
        <w:lang w:val="en-US" w:eastAsia="en-US" w:bidi="en-US"/>
      </w:rPr>
    </w:lvl>
    <w:lvl w:ilvl="8">
      <w:start w:val="0"/>
      <w:numFmt w:val="bullet"/>
      <w:lvlText w:val="•"/>
      <w:lvlJc w:val="left"/>
      <w:pPr>
        <w:ind w:left="8680" w:hanging="721"/>
      </w:pPr>
      <w:rPr>
        <w:rFonts w:hint="default"/>
        <w:lang w:val="en-US" w:eastAsia="en-US" w:bidi="en-US"/>
      </w:rPr>
    </w:lvl>
  </w:abstractNum>
  <w:abstractNum w:abstractNumId="3">
    <w:multiLevelType w:val="hybridMultilevel"/>
    <w:lvl w:ilvl="0">
      <w:start w:val="1"/>
      <w:numFmt w:val="lowerLetter"/>
      <w:lvlText w:val="%1)"/>
      <w:lvlJc w:val="left"/>
      <w:pPr>
        <w:ind w:left="840" w:hanging="721"/>
        <w:jc w:val="left"/>
      </w:pPr>
      <w:rPr>
        <w:rFonts w:hint="default"/>
        <w:b/>
        <w:bCs/>
        <w:w w:val="100"/>
        <w:lang w:val="en-US" w:eastAsia="en-US" w:bidi="en-US"/>
      </w:rPr>
    </w:lvl>
    <w:lvl w:ilvl="1">
      <w:start w:val="0"/>
      <w:numFmt w:val="bullet"/>
      <w:lvlText w:val="•"/>
      <w:lvlJc w:val="left"/>
      <w:pPr>
        <w:ind w:left="1820" w:hanging="721"/>
      </w:pPr>
      <w:rPr>
        <w:rFonts w:hint="default"/>
        <w:lang w:val="en-US" w:eastAsia="en-US" w:bidi="en-US"/>
      </w:rPr>
    </w:lvl>
    <w:lvl w:ilvl="2">
      <w:start w:val="0"/>
      <w:numFmt w:val="bullet"/>
      <w:lvlText w:val="•"/>
      <w:lvlJc w:val="left"/>
      <w:pPr>
        <w:ind w:left="2800" w:hanging="721"/>
      </w:pPr>
      <w:rPr>
        <w:rFonts w:hint="default"/>
        <w:lang w:val="en-US" w:eastAsia="en-US" w:bidi="en-US"/>
      </w:rPr>
    </w:lvl>
    <w:lvl w:ilvl="3">
      <w:start w:val="0"/>
      <w:numFmt w:val="bullet"/>
      <w:lvlText w:val="•"/>
      <w:lvlJc w:val="left"/>
      <w:pPr>
        <w:ind w:left="3780" w:hanging="721"/>
      </w:pPr>
      <w:rPr>
        <w:rFonts w:hint="default"/>
        <w:lang w:val="en-US" w:eastAsia="en-US" w:bidi="en-US"/>
      </w:rPr>
    </w:lvl>
    <w:lvl w:ilvl="4">
      <w:start w:val="0"/>
      <w:numFmt w:val="bullet"/>
      <w:lvlText w:val="•"/>
      <w:lvlJc w:val="left"/>
      <w:pPr>
        <w:ind w:left="4760" w:hanging="721"/>
      </w:pPr>
      <w:rPr>
        <w:rFonts w:hint="default"/>
        <w:lang w:val="en-US" w:eastAsia="en-US" w:bidi="en-US"/>
      </w:rPr>
    </w:lvl>
    <w:lvl w:ilvl="5">
      <w:start w:val="0"/>
      <w:numFmt w:val="bullet"/>
      <w:lvlText w:val="•"/>
      <w:lvlJc w:val="left"/>
      <w:pPr>
        <w:ind w:left="5740" w:hanging="721"/>
      </w:pPr>
      <w:rPr>
        <w:rFonts w:hint="default"/>
        <w:lang w:val="en-US" w:eastAsia="en-US" w:bidi="en-US"/>
      </w:rPr>
    </w:lvl>
    <w:lvl w:ilvl="6">
      <w:start w:val="0"/>
      <w:numFmt w:val="bullet"/>
      <w:lvlText w:val="•"/>
      <w:lvlJc w:val="left"/>
      <w:pPr>
        <w:ind w:left="6720" w:hanging="721"/>
      </w:pPr>
      <w:rPr>
        <w:rFonts w:hint="default"/>
        <w:lang w:val="en-US" w:eastAsia="en-US" w:bidi="en-US"/>
      </w:rPr>
    </w:lvl>
    <w:lvl w:ilvl="7">
      <w:start w:val="0"/>
      <w:numFmt w:val="bullet"/>
      <w:lvlText w:val="•"/>
      <w:lvlJc w:val="left"/>
      <w:pPr>
        <w:ind w:left="7700" w:hanging="721"/>
      </w:pPr>
      <w:rPr>
        <w:rFonts w:hint="default"/>
        <w:lang w:val="en-US" w:eastAsia="en-US" w:bidi="en-US"/>
      </w:rPr>
    </w:lvl>
    <w:lvl w:ilvl="8">
      <w:start w:val="0"/>
      <w:numFmt w:val="bullet"/>
      <w:lvlText w:val="•"/>
      <w:lvlJc w:val="left"/>
      <w:pPr>
        <w:ind w:left="8680" w:hanging="721"/>
      </w:pPr>
      <w:rPr>
        <w:rFonts w:hint="default"/>
        <w:lang w:val="en-US" w:eastAsia="en-US" w:bidi="en-US"/>
      </w:rPr>
    </w:lvl>
  </w:abstractNum>
  <w:abstractNum w:abstractNumId="2">
    <w:multiLevelType w:val="hybridMultilevel"/>
    <w:lvl w:ilvl="0">
      <w:start w:val="1"/>
      <w:numFmt w:val="lowerRoman"/>
      <w:lvlText w:val="%1)"/>
      <w:lvlJc w:val="left"/>
      <w:pPr>
        <w:ind w:left="1560" w:hanging="721"/>
        <w:jc w:val="left"/>
      </w:pPr>
      <w:rPr>
        <w:rFonts w:hint="default" w:ascii="Arial" w:hAnsi="Arial" w:eastAsia="Arial" w:cs="Arial"/>
        <w:b/>
        <w:bCs/>
        <w:spacing w:val="-1"/>
        <w:w w:val="100"/>
        <w:sz w:val="20"/>
        <w:szCs w:val="20"/>
        <w:lang w:val="en-US" w:eastAsia="en-US" w:bidi="en-US"/>
      </w:rPr>
    </w:lvl>
    <w:lvl w:ilvl="1">
      <w:start w:val="0"/>
      <w:numFmt w:val="bullet"/>
      <w:lvlText w:val="•"/>
      <w:lvlJc w:val="left"/>
      <w:pPr>
        <w:ind w:left="2468" w:hanging="721"/>
      </w:pPr>
      <w:rPr>
        <w:rFonts w:hint="default"/>
        <w:lang w:val="en-US" w:eastAsia="en-US" w:bidi="en-US"/>
      </w:rPr>
    </w:lvl>
    <w:lvl w:ilvl="2">
      <w:start w:val="0"/>
      <w:numFmt w:val="bullet"/>
      <w:lvlText w:val="•"/>
      <w:lvlJc w:val="left"/>
      <w:pPr>
        <w:ind w:left="3376" w:hanging="721"/>
      </w:pPr>
      <w:rPr>
        <w:rFonts w:hint="default"/>
        <w:lang w:val="en-US" w:eastAsia="en-US" w:bidi="en-US"/>
      </w:rPr>
    </w:lvl>
    <w:lvl w:ilvl="3">
      <w:start w:val="0"/>
      <w:numFmt w:val="bullet"/>
      <w:lvlText w:val="•"/>
      <w:lvlJc w:val="left"/>
      <w:pPr>
        <w:ind w:left="4284" w:hanging="721"/>
      </w:pPr>
      <w:rPr>
        <w:rFonts w:hint="default"/>
        <w:lang w:val="en-US" w:eastAsia="en-US" w:bidi="en-US"/>
      </w:rPr>
    </w:lvl>
    <w:lvl w:ilvl="4">
      <w:start w:val="0"/>
      <w:numFmt w:val="bullet"/>
      <w:lvlText w:val="•"/>
      <w:lvlJc w:val="left"/>
      <w:pPr>
        <w:ind w:left="5192" w:hanging="721"/>
      </w:pPr>
      <w:rPr>
        <w:rFonts w:hint="default"/>
        <w:lang w:val="en-US" w:eastAsia="en-US" w:bidi="en-US"/>
      </w:rPr>
    </w:lvl>
    <w:lvl w:ilvl="5">
      <w:start w:val="0"/>
      <w:numFmt w:val="bullet"/>
      <w:lvlText w:val="•"/>
      <w:lvlJc w:val="left"/>
      <w:pPr>
        <w:ind w:left="6100" w:hanging="721"/>
      </w:pPr>
      <w:rPr>
        <w:rFonts w:hint="default"/>
        <w:lang w:val="en-US" w:eastAsia="en-US" w:bidi="en-US"/>
      </w:rPr>
    </w:lvl>
    <w:lvl w:ilvl="6">
      <w:start w:val="0"/>
      <w:numFmt w:val="bullet"/>
      <w:lvlText w:val="•"/>
      <w:lvlJc w:val="left"/>
      <w:pPr>
        <w:ind w:left="7008" w:hanging="721"/>
      </w:pPr>
      <w:rPr>
        <w:rFonts w:hint="default"/>
        <w:lang w:val="en-US" w:eastAsia="en-US" w:bidi="en-US"/>
      </w:rPr>
    </w:lvl>
    <w:lvl w:ilvl="7">
      <w:start w:val="0"/>
      <w:numFmt w:val="bullet"/>
      <w:lvlText w:val="•"/>
      <w:lvlJc w:val="left"/>
      <w:pPr>
        <w:ind w:left="7916" w:hanging="721"/>
      </w:pPr>
      <w:rPr>
        <w:rFonts w:hint="default"/>
        <w:lang w:val="en-US" w:eastAsia="en-US" w:bidi="en-US"/>
      </w:rPr>
    </w:lvl>
    <w:lvl w:ilvl="8">
      <w:start w:val="0"/>
      <w:numFmt w:val="bullet"/>
      <w:lvlText w:val="•"/>
      <w:lvlJc w:val="left"/>
      <w:pPr>
        <w:ind w:left="8824" w:hanging="721"/>
      </w:pPr>
      <w:rPr>
        <w:rFonts w:hint="default"/>
        <w:lang w:val="en-US" w:eastAsia="en-US" w:bidi="en-US"/>
      </w:rPr>
    </w:lvl>
  </w:abstractNum>
  <w:abstractNum w:abstractNumId="1">
    <w:multiLevelType w:val="hybridMultilevel"/>
    <w:lvl w:ilvl="0">
      <w:start w:val="1"/>
      <w:numFmt w:val="lowerLetter"/>
      <w:lvlText w:val="%1)"/>
      <w:lvlJc w:val="left"/>
      <w:pPr>
        <w:ind w:left="840" w:hanging="721"/>
        <w:jc w:val="left"/>
      </w:pPr>
      <w:rPr>
        <w:rFonts w:hint="default" w:ascii="Arial" w:hAnsi="Arial" w:eastAsia="Arial" w:cs="Arial"/>
        <w:w w:val="100"/>
        <w:sz w:val="20"/>
        <w:szCs w:val="20"/>
        <w:lang w:val="en-US" w:eastAsia="en-US" w:bidi="en-US"/>
      </w:rPr>
    </w:lvl>
    <w:lvl w:ilvl="1">
      <w:start w:val="0"/>
      <w:numFmt w:val="bullet"/>
      <w:lvlText w:val="•"/>
      <w:lvlJc w:val="left"/>
      <w:pPr>
        <w:ind w:left="1820" w:hanging="721"/>
      </w:pPr>
      <w:rPr>
        <w:rFonts w:hint="default"/>
        <w:lang w:val="en-US" w:eastAsia="en-US" w:bidi="en-US"/>
      </w:rPr>
    </w:lvl>
    <w:lvl w:ilvl="2">
      <w:start w:val="0"/>
      <w:numFmt w:val="bullet"/>
      <w:lvlText w:val="•"/>
      <w:lvlJc w:val="left"/>
      <w:pPr>
        <w:ind w:left="2800" w:hanging="721"/>
      </w:pPr>
      <w:rPr>
        <w:rFonts w:hint="default"/>
        <w:lang w:val="en-US" w:eastAsia="en-US" w:bidi="en-US"/>
      </w:rPr>
    </w:lvl>
    <w:lvl w:ilvl="3">
      <w:start w:val="0"/>
      <w:numFmt w:val="bullet"/>
      <w:lvlText w:val="•"/>
      <w:lvlJc w:val="left"/>
      <w:pPr>
        <w:ind w:left="3780" w:hanging="721"/>
      </w:pPr>
      <w:rPr>
        <w:rFonts w:hint="default"/>
        <w:lang w:val="en-US" w:eastAsia="en-US" w:bidi="en-US"/>
      </w:rPr>
    </w:lvl>
    <w:lvl w:ilvl="4">
      <w:start w:val="0"/>
      <w:numFmt w:val="bullet"/>
      <w:lvlText w:val="•"/>
      <w:lvlJc w:val="left"/>
      <w:pPr>
        <w:ind w:left="4760" w:hanging="721"/>
      </w:pPr>
      <w:rPr>
        <w:rFonts w:hint="default"/>
        <w:lang w:val="en-US" w:eastAsia="en-US" w:bidi="en-US"/>
      </w:rPr>
    </w:lvl>
    <w:lvl w:ilvl="5">
      <w:start w:val="0"/>
      <w:numFmt w:val="bullet"/>
      <w:lvlText w:val="•"/>
      <w:lvlJc w:val="left"/>
      <w:pPr>
        <w:ind w:left="5740" w:hanging="721"/>
      </w:pPr>
      <w:rPr>
        <w:rFonts w:hint="default"/>
        <w:lang w:val="en-US" w:eastAsia="en-US" w:bidi="en-US"/>
      </w:rPr>
    </w:lvl>
    <w:lvl w:ilvl="6">
      <w:start w:val="0"/>
      <w:numFmt w:val="bullet"/>
      <w:lvlText w:val="•"/>
      <w:lvlJc w:val="left"/>
      <w:pPr>
        <w:ind w:left="6720" w:hanging="721"/>
      </w:pPr>
      <w:rPr>
        <w:rFonts w:hint="default"/>
        <w:lang w:val="en-US" w:eastAsia="en-US" w:bidi="en-US"/>
      </w:rPr>
    </w:lvl>
    <w:lvl w:ilvl="7">
      <w:start w:val="0"/>
      <w:numFmt w:val="bullet"/>
      <w:lvlText w:val="•"/>
      <w:lvlJc w:val="left"/>
      <w:pPr>
        <w:ind w:left="7700" w:hanging="721"/>
      </w:pPr>
      <w:rPr>
        <w:rFonts w:hint="default"/>
        <w:lang w:val="en-US" w:eastAsia="en-US" w:bidi="en-US"/>
      </w:rPr>
    </w:lvl>
    <w:lvl w:ilvl="8">
      <w:start w:val="0"/>
      <w:numFmt w:val="bullet"/>
      <w:lvlText w:val="•"/>
      <w:lvlJc w:val="left"/>
      <w:pPr>
        <w:ind w:left="8680" w:hanging="721"/>
      </w:pPr>
      <w:rPr>
        <w:rFonts w:hint="default"/>
        <w:lang w:val="en-US" w:eastAsia="en-US" w:bidi="en-US"/>
      </w:rPr>
    </w:lvl>
  </w:abstractNum>
  <w:abstractNum w:abstractNumId="0">
    <w:multiLevelType w:val="hybridMultilevel"/>
    <w:lvl w:ilvl="0">
      <w:start w:val="1"/>
      <w:numFmt w:val="decimal"/>
      <w:lvlText w:val="%1."/>
      <w:lvlJc w:val="left"/>
      <w:pPr>
        <w:ind w:left="840" w:hanging="720"/>
        <w:jc w:val="left"/>
      </w:pPr>
      <w:rPr>
        <w:rFonts w:hint="default"/>
        <w:w w:val="100"/>
        <w:lang w:val="en-US" w:eastAsia="en-US" w:bidi="en-US"/>
      </w:rPr>
    </w:lvl>
    <w:lvl w:ilvl="1">
      <w:start w:val="0"/>
      <w:numFmt w:val="bullet"/>
      <w:lvlText w:val=""/>
      <w:lvlJc w:val="left"/>
      <w:pPr>
        <w:ind w:left="1560" w:hanging="721"/>
      </w:pPr>
      <w:rPr>
        <w:rFonts w:hint="default"/>
        <w:w w:val="100"/>
        <w:lang w:val="en-US" w:eastAsia="en-US" w:bidi="en-US"/>
      </w:rPr>
    </w:lvl>
    <w:lvl w:ilvl="2">
      <w:start w:val="0"/>
      <w:numFmt w:val="bullet"/>
      <w:lvlText w:val=""/>
      <w:lvlJc w:val="left"/>
      <w:pPr>
        <w:ind w:left="2279" w:hanging="721"/>
      </w:pPr>
      <w:rPr>
        <w:rFonts w:hint="default" w:ascii="Symbol" w:hAnsi="Symbol" w:eastAsia="Symbol" w:cs="Symbol"/>
        <w:w w:val="100"/>
        <w:sz w:val="20"/>
        <w:szCs w:val="20"/>
        <w:lang w:val="en-US" w:eastAsia="en-US" w:bidi="en-US"/>
      </w:rPr>
    </w:lvl>
    <w:lvl w:ilvl="3">
      <w:start w:val="0"/>
      <w:numFmt w:val="bullet"/>
      <w:lvlText w:val="•"/>
      <w:lvlJc w:val="left"/>
      <w:pPr>
        <w:ind w:left="3325" w:hanging="721"/>
      </w:pPr>
      <w:rPr>
        <w:rFonts w:hint="default"/>
        <w:lang w:val="en-US" w:eastAsia="en-US" w:bidi="en-US"/>
      </w:rPr>
    </w:lvl>
    <w:lvl w:ilvl="4">
      <w:start w:val="0"/>
      <w:numFmt w:val="bullet"/>
      <w:lvlText w:val="•"/>
      <w:lvlJc w:val="left"/>
      <w:pPr>
        <w:ind w:left="4370" w:hanging="721"/>
      </w:pPr>
      <w:rPr>
        <w:rFonts w:hint="default"/>
        <w:lang w:val="en-US" w:eastAsia="en-US" w:bidi="en-US"/>
      </w:rPr>
    </w:lvl>
    <w:lvl w:ilvl="5">
      <w:start w:val="0"/>
      <w:numFmt w:val="bullet"/>
      <w:lvlText w:val="•"/>
      <w:lvlJc w:val="left"/>
      <w:pPr>
        <w:ind w:left="5415" w:hanging="721"/>
      </w:pPr>
      <w:rPr>
        <w:rFonts w:hint="default"/>
        <w:lang w:val="en-US" w:eastAsia="en-US" w:bidi="en-US"/>
      </w:rPr>
    </w:lvl>
    <w:lvl w:ilvl="6">
      <w:start w:val="0"/>
      <w:numFmt w:val="bullet"/>
      <w:lvlText w:val="•"/>
      <w:lvlJc w:val="left"/>
      <w:pPr>
        <w:ind w:left="6460" w:hanging="721"/>
      </w:pPr>
      <w:rPr>
        <w:rFonts w:hint="default"/>
        <w:lang w:val="en-US" w:eastAsia="en-US" w:bidi="en-US"/>
      </w:rPr>
    </w:lvl>
    <w:lvl w:ilvl="7">
      <w:start w:val="0"/>
      <w:numFmt w:val="bullet"/>
      <w:lvlText w:val="•"/>
      <w:lvlJc w:val="left"/>
      <w:pPr>
        <w:ind w:left="7505" w:hanging="721"/>
      </w:pPr>
      <w:rPr>
        <w:rFonts w:hint="default"/>
        <w:lang w:val="en-US" w:eastAsia="en-US" w:bidi="en-US"/>
      </w:rPr>
    </w:lvl>
    <w:lvl w:ilvl="8">
      <w:start w:val="0"/>
      <w:numFmt w:val="bullet"/>
      <w:lvlText w:val="•"/>
      <w:lvlJc w:val="left"/>
      <w:pPr>
        <w:ind w:left="8550" w:hanging="721"/>
      </w:pPr>
      <w:rPr>
        <w:rFonts w:hint="default"/>
        <w:lang w:val="en-US" w:eastAsia="en-US" w:bidi="en-U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0"/>
      <w:szCs w:val="20"/>
      <w:lang w:val="en-US" w:eastAsia="en-US" w:bidi="en-US"/>
    </w:rPr>
  </w:style>
  <w:style w:styleId="Heading1" w:type="paragraph">
    <w:name w:val="Heading 1"/>
    <w:basedOn w:val="Normal"/>
    <w:uiPriority w:val="1"/>
    <w:qFormat/>
    <w:pPr>
      <w:ind w:left="840" w:hanging="721"/>
      <w:outlineLvl w:val="1"/>
    </w:pPr>
    <w:rPr>
      <w:rFonts w:ascii="Arial" w:hAnsi="Arial" w:eastAsia="Arial" w:cs="Arial"/>
      <w:b/>
      <w:bCs/>
      <w:sz w:val="20"/>
      <w:szCs w:val="20"/>
      <w:lang w:val="en-US" w:eastAsia="en-US" w:bidi="en-US"/>
    </w:rPr>
  </w:style>
  <w:style w:styleId="ListParagraph" w:type="paragraph">
    <w:name w:val="List Paragraph"/>
    <w:basedOn w:val="Normal"/>
    <w:uiPriority w:val="1"/>
    <w:qFormat/>
    <w:pPr>
      <w:ind w:left="840" w:hanging="721"/>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oter" Target="footer1.xml"/><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footer" Target="footer11.xml"/><Relationship Id="rId21" Type="http://schemas.openxmlformats.org/officeDocument/2006/relationships/image" Target="media/image6.jpeg"/><Relationship Id="rId22"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footer9.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Wheatley</dc:creator>
  <dcterms:created xsi:type="dcterms:W3CDTF">2021-12-27T02:20:20Z</dcterms:created>
  <dcterms:modified xsi:type="dcterms:W3CDTF">2021-12-27T02:20:20Z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Acrobat PDFMaker 17 for Word</vt:lpwstr>
  </property>
  <property fmtid="{D5CDD505-2E9C-101B-9397-08002B2CF9AE}" pid="4" name="LastSaved">
    <vt:filetime>2021-12-27T00:00:00Z</vt:filetime>
  </property>
</Properties>
</file>